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2A9526">
      <w:pPr>
        <w:tabs>
          <w:tab w:val="left" w:pos="3544"/>
        </w:tabs>
        <w:rPr>
          <w:rFonts w:hint="eastAsia" w:ascii="宋体" w:hAnsi="宋体" w:eastAsia="宋体" w:cs="宋体"/>
          <w:b/>
          <w:bCs/>
          <w:sz w:val="24"/>
        </w:rPr>
      </w:pPr>
      <w:bookmarkStart w:id="0" w:name="_Hlk63325776"/>
      <w:r>
        <w:rPr>
          <w:rFonts w:hint="eastAsia" w:ascii="宋体" w:hAnsi="宋体" w:eastAsia="宋体" w:cs="宋体"/>
          <w:b/>
          <w:bCs/>
          <w:sz w:val="24"/>
        </w:rPr>
        <w:t>合同编号：</w:t>
      </w:r>
    </w:p>
    <w:p w14:paraId="6EC3AA3C">
      <w:pPr>
        <w:tabs>
          <w:tab w:val="left" w:pos="3544"/>
        </w:tabs>
        <w:rPr>
          <w:rFonts w:hint="eastAsia" w:ascii="宋体" w:hAnsi="宋体" w:eastAsia="宋体" w:cs="宋体"/>
          <w:b/>
          <w:bCs/>
          <w:sz w:val="24"/>
        </w:rPr>
      </w:pPr>
    </w:p>
    <w:p w14:paraId="4BC55138">
      <w:pPr>
        <w:spacing w:line="900" w:lineRule="auto"/>
        <w:rPr>
          <w:rFonts w:hint="eastAsia" w:ascii="宋体" w:hAnsi="宋体" w:eastAsia="宋体" w:cs="宋体"/>
          <w:b/>
          <w:color w:val="auto"/>
          <w:sz w:val="84"/>
          <w:szCs w:val="84"/>
        </w:rPr>
      </w:pPr>
    </w:p>
    <w:p w14:paraId="3F93B1C2">
      <w:pPr>
        <w:spacing w:line="900" w:lineRule="auto"/>
        <w:ind w:firstLine="1446" w:firstLineChars="200"/>
        <w:rPr>
          <w:rFonts w:hint="eastAsia" w:ascii="宋体" w:hAnsi="宋体" w:eastAsia="宋体" w:cs="宋体"/>
          <w:b/>
          <w:color w:val="auto"/>
          <w:sz w:val="72"/>
          <w:szCs w:val="72"/>
        </w:rPr>
      </w:pPr>
      <w:r>
        <w:rPr>
          <w:rFonts w:hint="eastAsia" w:ascii="宋体" w:hAnsi="宋体" w:eastAsia="宋体" w:cs="宋体"/>
          <w:b/>
          <w:color w:val="auto"/>
          <w:sz w:val="72"/>
          <w:szCs w:val="72"/>
        </w:rPr>
        <w:t>管理体系认证合同书</w:t>
      </w:r>
    </w:p>
    <w:p w14:paraId="3ABAB1AF">
      <w:pPr>
        <w:jc w:val="center"/>
        <w:rPr>
          <w:rFonts w:hint="eastAsia" w:ascii="宋体" w:hAnsi="宋体" w:eastAsia="宋体" w:cs="宋体"/>
          <w:b/>
          <w:color w:val="auto"/>
          <w:sz w:val="28"/>
          <w:szCs w:val="28"/>
        </w:rPr>
      </w:pPr>
    </w:p>
    <w:p w14:paraId="0228276B">
      <w:pPr>
        <w:jc w:val="center"/>
        <w:rPr>
          <w:rFonts w:hint="eastAsia" w:ascii="宋体" w:hAnsi="宋体" w:eastAsia="宋体" w:cs="宋体"/>
          <w:b/>
          <w:color w:val="auto"/>
          <w:sz w:val="28"/>
          <w:szCs w:val="28"/>
        </w:rPr>
      </w:pPr>
    </w:p>
    <w:p w14:paraId="68A5FA1F">
      <w:pPr>
        <w:jc w:val="center"/>
        <w:rPr>
          <w:rFonts w:hint="eastAsia" w:ascii="宋体" w:hAnsi="宋体" w:eastAsia="宋体" w:cs="宋体"/>
          <w:b/>
          <w:color w:val="auto"/>
          <w:sz w:val="28"/>
          <w:szCs w:val="28"/>
        </w:rPr>
      </w:pPr>
    </w:p>
    <w:p w14:paraId="1AE36945">
      <w:pPr>
        <w:jc w:val="center"/>
        <w:rPr>
          <w:rFonts w:hint="eastAsia" w:ascii="宋体" w:hAnsi="宋体" w:eastAsia="宋体" w:cs="宋体"/>
          <w:b/>
          <w:color w:val="auto"/>
          <w:sz w:val="28"/>
          <w:szCs w:val="28"/>
        </w:rPr>
      </w:pPr>
    </w:p>
    <w:p w14:paraId="1DD23DED">
      <w:pPr>
        <w:jc w:val="center"/>
        <w:rPr>
          <w:rFonts w:hint="eastAsia" w:ascii="宋体" w:hAnsi="宋体" w:eastAsia="宋体" w:cs="宋体"/>
          <w:b/>
          <w:color w:val="auto"/>
          <w:sz w:val="28"/>
          <w:szCs w:val="28"/>
        </w:rPr>
      </w:pPr>
    </w:p>
    <w:p w14:paraId="07813D31">
      <w:pPr>
        <w:jc w:val="center"/>
        <w:rPr>
          <w:rFonts w:hint="eastAsia" w:ascii="宋体" w:hAnsi="宋体" w:eastAsia="宋体" w:cs="宋体"/>
          <w:b/>
          <w:color w:val="auto"/>
          <w:sz w:val="28"/>
          <w:szCs w:val="28"/>
        </w:rPr>
      </w:pPr>
    </w:p>
    <w:p w14:paraId="47D0BF2F">
      <w:pPr>
        <w:jc w:val="center"/>
        <w:rPr>
          <w:rFonts w:hint="eastAsia" w:ascii="宋体" w:hAnsi="宋体" w:eastAsia="宋体" w:cs="宋体"/>
          <w:b/>
          <w:color w:val="auto"/>
          <w:sz w:val="28"/>
          <w:szCs w:val="28"/>
        </w:rPr>
      </w:pPr>
    </w:p>
    <w:p w14:paraId="1729D7BB">
      <w:pPr>
        <w:jc w:val="center"/>
        <w:rPr>
          <w:rFonts w:hint="eastAsia" w:ascii="宋体" w:hAnsi="宋体" w:eastAsia="宋体" w:cs="宋体"/>
          <w:b/>
          <w:color w:val="auto"/>
          <w:sz w:val="28"/>
          <w:szCs w:val="28"/>
        </w:rPr>
      </w:pPr>
    </w:p>
    <w:p w14:paraId="7B1C8036">
      <w:pPr>
        <w:jc w:val="center"/>
        <w:rPr>
          <w:rFonts w:hint="eastAsia" w:ascii="宋体" w:hAnsi="宋体" w:eastAsia="宋体" w:cs="宋体"/>
          <w:color w:val="auto"/>
        </w:rPr>
      </w:pPr>
    </w:p>
    <w:p w14:paraId="61A8A10C">
      <w:pPr>
        <w:ind w:left="420"/>
        <w:jc w:val="center"/>
        <w:rPr>
          <w:rFonts w:hint="eastAsia" w:ascii="宋体" w:hAnsi="宋体" w:eastAsia="宋体" w:cs="宋体"/>
          <w:b/>
          <w:color w:val="auto"/>
          <w:sz w:val="52"/>
          <w:szCs w:val="52"/>
        </w:rPr>
      </w:pPr>
      <w:permStart w:id="0" w:edGrp="everyone"/>
      <w:permEnd w:id="0"/>
    </w:p>
    <w:p w14:paraId="4C2E8D2A">
      <w:pPr>
        <w:keepNext w:val="0"/>
        <w:keepLines w:val="0"/>
        <w:widowControl/>
        <w:suppressLineNumbers w:val="0"/>
        <w:ind w:firstLine="964" w:firstLineChars="300"/>
        <w:jc w:val="left"/>
        <w:rPr>
          <w:rFonts w:hint="eastAsia" w:ascii="宋体" w:hAnsi="宋体" w:eastAsia="宋体" w:cs="宋体"/>
          <w:b w:val="0"/>
          <w:bCs w:val="0"/>
          <w:color w:val="auto"/>
          <w:u w:val="single"/>
          <w:lang w:val="en-US" w:eastAsia="zh-CN"/>
        </w:rPr>
      </w:pPr>
      <w:permStart w:id="1" w:edGrp="everyone"/>
      <w:r>
        <w:rPr>
          <w:rFonts w:hint="eastAsia" w:ascii="宋体" w:hAnsi="宋体" w:cs="宋体"/>
          <w:b/>
          <w:bCs/>
          <w:color w:val="auto"/>
          <w:sz w:val="32"/>
          <w:szCs w:val="32"/>
          <w:lang w:eastAsia="zh-CN"/>
        </w:rPr>
        <w:t>认证</w:t>
      </w:r>
      <w:r>
        <w:rPr>
          <w:rFonts w:hint="eastAsia" w:ascii="宋体" w:hAnsi="宋体" w:eastAsia="宋体" w:cs="宋体"/>
          <w:b/>
          <w:bCs/>
          <w:color w:val="auto"/>
          <w:sz w:val="32"/>
          <w:szCs w:val="32"/>
        </w:rPr>
        <w:t>委托</w:t>
      </w:r>
      <w:r>
        <w:rPr>
          <w:rFonts w:hint="eastAsia" w:ascii="宋体" w:hAnsi="宋体" w:cs="宋体"/>
          <w:b/>
          <w:bCs/>
          <w:color w:val="auto"/>
          <w:sz w:val="32"/>
          <w:szCs w:val="32"/>
          <w:lang w:eastAsia="zh-CN"/>
        </w:rPr>
        <w:t>人</w:t>
      </w:r>
      <w:r>
        <w:rPr>
          <w:rFonts w:hint="eastAsia" w:ascii="宋体" w:hAnsi="宋体" w:eastAsia="宋体" w:cs="宋体"/>
          <w:b/>
          <w:bCs/>
          <w:color w:val="auto"/>
          <w:sz w:val="32"/>
          <w:szCs w:val="32"/>
        </w:rPr>
        <w:t>（甲方）</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u w:val="single"/>
          <w:lang w:val="en-US" w:eastAsia="zh-CN"/>
        </w:rPr>
        <w:t xml:space="preserve">                        </w:t>
      </w:r>
    </w:p>
    <w:permEnd w:id="1"/>
    <w:p w14:paraId="108EE29B">
      <w:pPr>
        <w:spacing w:line="720" w:lineRule="auto"/>
        <w:ind w:firstLine="948" w:firstLineChars="295"/>
        <w:rPr>
          <w:rFonts w:hint="eastAsia" w:ascii="宋体" w:hAnsi="宋体" w:eastAsia="宋体" w:cs="宋体"/>
          <w:b/>
          <w:bCs/>
          <w:color w:val="auto"/>
          <w:sz w:val="32"/>
          <w:szCs w:val="32"/>
          <w:u w:val="single"/>
        </w:rPr>
      </w:pPr>
      <w:r>
        <w:rPr>
          <w:rFonts w:hint="eastAsia" w:ascii="宋体" w:hAnsi="宋体" w:eastAsia="宋体" w:cs="宋体"/>
          <w:b/>
          <w:bCs/>
          <w:color w:val="auto"/>
          <w:sz w:val="32"/>
          <w:szCs w:val="32"/>
        </w:rPr>
        <w:t>审核方（乙方）</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u w:val="single"/>
          <w:lang w:eastAsia="zh-CN"/>
        </w:rPr>
        <w:t>山东质联认证有限公司</w:t>
      </w:r>
      <w:r>
        <w:rPr>
          <w:rFonts w:hint="eastAsia" w:ascii="宋体" w:hAnsi="宋体" w:eastAsia="宋体" w:cs="宋体"/>
          <w:b/>
          <w:bCs/>
          <w:color w:val="auto"/>
          <w:sz w:val="32"/>
          <w:szCs w:val="32"/>
          <w:u w:val="single"/>
          <w:lang w:val="en-US" w:eastAsia="zh-CN"/>
        </w:rPr>
        <w:t xml:space="preserve">        </w:t>
      </w:r>
    </w:p>
    <w:p w14:paraId="130F3D6E">
      <w:pPr>
        <w:spacing w:line="720" w:lineRule="auto"/>
        <w:ind w:firstLine="964" w:firstLineChars="300"/>
        <w:rPr>
          <w:rFonts w:hint="eastAsia" w:ascii="宋体" w:hAnsi="宋体" w:eastAsia="宋体" w:cs="宋体"/>
          <w:b/>
          <w:color w:val="auto"/>
          <w:sz w:val="32"/>
          <w:szCs w:val="32"/>
        </w:rPr>
      </w:pPr>
      <w:r>
        <w:rPr>
          <w:rFonts w:hint="eastAsia" w:ascii="宋体" w:hAnsi="宋体" w:eastAsia="宋体" w:cs="宋体"/>
          <w:b/>
          <w:bCs/>
          <w:color w:val="auto"/>
          <w:sz w:val="32"/>
          <w:szCs w:val="32"/>
        </w:rPr>
        <w:t>签订时间</w:t>
      </w:r>
      <w:r>
        <w:rPr>
          <w:rFonts w:hint="eastAsia" w:ascii="宋体" w:hAnsi="宋体" w:eastAsia="宋体" w:cs="宋体"/>
          <w:b/>
          <w:color w:val="auto"/>
          <w:sz w:val="32"/>
          <w:szCs w:val="32"/>
        </w:rPr>
        <w:t>：</w:t>
      </w:r>
      <w:r>
        <w:rPr>
          <w:rFonts w:hint="eastAsia" w:ascii="宋体" w:hAnsi="宋体" w:eastAsia="宋体" w:cs="宋体"/>
          <w:b/>
          <w:color w:val="auto"/>
          <w:sz w:val="32"/>
          <w:szCs w:val="32"/>
          <w:u w:val="single"/>
        </w:rPr>
        <w:t xml:space="preserve">  </w:t>
      </w:r>
      <w:r>
        <w:rPr>
          <w:rFonts w:hint="eastAsia" w:ascii="宋体" w:hAnsi="宋体" w:eastAsia="宋体" w:cs="宋体"/>
          <w:b/>
          <w:color w:val="auto"/>
          <w:sz w:val="32"/>
          <w:szCs w:val="32"/>
          <w:u w:val="single"/>
          <w:lang w:val="en-US" w:eastAsia="zh-CN"/>
        </w:rPr>
        <w:t xml:space="preserve">   </w:t>
      </w:r>
      <w:r>
        <w:rPr>
          <w:rFonts w:hint="eastAsia" w:ascii="宋体" w:hAnsi="宋体" w:eastAsia="宋体" w:cs="宋体"/>
          <w:b/>
          <w:color w:val="auto"/>
          <w:sz w:val="32"/>
          <w:szCs w:val="32"/>
          <w:u w:val="single"/>
        </w:rPr>
        <w:t xml:space="preserve">   </w:t>
      </w:r>
      <w:r>
        <w:rPr>
          <w:rFonts w:hint="eastAsia" w:ascii="宋体" w:hAnsi="宋体" w:eastAsia="宋体" w:cs="宋体"/>
          <w:b/>
          <w:color w:val="auto"/>
          <w:sz w:val="32"/>
          <w:szCs w:val="32"/>
        </w:rPr>
        <w:t>年</w:t>
      </w:r>
      <w:r>
        <w:rPr>
          <w:rFonts w:hint="eastAsia" w:ascii="宋体" w:hAnsi="宋体" w:eastAsia="宋体" w:cs="宋体"/>
          <w:b/>
          <w:color w:val="auto"/>
          <w:sz w:val="32"/>
          <w:szCs w:val="32"/>
          <w:u w:val="single"/>
        </w:rPr>
        <w:t xml:space="preserve">  </w:t>
      </w:r>
      <w:r>
        <w:rPr>
          <w:rFonts w:hint="eastAsia" w:ascii="宋体" w:hAnsi="宋体" w:eastAsia="宋体" w:cs="宋体"/>
          <w:b/>
          <w:color w:val="auto"/>
          <w:sz w:val="32"/>
          <w:szCs w:val="32"/>
          <w:u w:val="single"/>
          <w:lang w:val="en-US" w:eastAsia="zh-CN"/>
        </w:rPr>
        <w:t xml:space="preserve">   </w:t>
      </w:r>
      <w:r>
        <w:rPr>
          <w:rFonts w:hint="eastAsia" w:ascii="宋体" w:hAnsi="宋体" w:eastAsia="宋体" w:cs="宋体"/>
          <w:b/>
          <w:color w:val="auto"/>
          <w:sz w:val="32"/>
          <w:szCs w:val="32"/>
          <w:u w:val="single"/>
        </w:rPr>
        <w:t xml:space="preserve">  </w:t>
      </w:r>
      <w:r>
        <w:rPr>
          <w:rFonts w:hint="eastAsia" w:ascii="宋体" w:hAnsi="宋体" w:eastAsia="宋体" w:cs="宋体"/>
          <w:b/>
          <w:color w:val="auto"/>
          <w:sz w:val="32"/>
          <w:szCs w:val="32"/>
        </w:rPr>
        <w:t>月</w:t>
      </w:r>
      <w:r>
        <w:rPr>
          <w:rFonts w:hint="eastAsia" w:ascii="宋体" w:hAnsi="宋体" w:eastAsia="宋体" w:cs="宋体"/>
          <w:b/>
          <w:color w:val="auto"/>
          <w:sz w:val="32"/>
          <w:szCs w:val="32"/>
          <w:u w:val="single"/>
        </w:rPr>
        <w:t xml:space="preserve">  </w:t>
      </w:r>
      <w:r>
        <w:rPr>
          <w:rFonts w:hint="eastAsia" w:ascii="宋体" w:hAnsi="宋体" w:eastAsia="宋体" w:cs="宋体"/>
          <w:b/>
          <w:color w:val="auto"/>
          <w:sz w:val="32"/>
          <w:szCs w:val="32"/>
          <w:u w:val="single"/>
          <w:lang w:val="en-US" w:eastAsia="zh-CN"/>
        </w:rPr>
        <w:t xml:space="preserve">    </w:t>
      </w:r>
      <w:r>
        <w:rPr>
          <w:rFonts w:hint="eastAsia" w:ascii="宋体" w:hAnsi="宋体" w:eastAsia="宋体" w:cs="宋体"/>
          <w:b/>
          <w:color w:val="auto"/>
          <w:sz w:val="32"/>
          <w:szCs w:val="32"/>
          <w:u w:val="single"/>
        </w:rPr>
        <w:t xml:space="preserve">  </w:t>
      </w:r>
      <w:r>
        <w:rPr>
          <w:rFonts w:hint="eastAsia" w:ascii="宋体" w:hAnsi="宋体" w:eastAsia="宋体" w:cs="宋体"/>
          <w:b/>
          <w:color w:val="auto"/>
          <w:sz w:val="32"/>
          <w:szCs w:val="32"/>
        </w:rPr>
        <w:t>日</w:t>
      </w:r>
    </w:p>
    <w:p w14:paraId="38D10C9B">
      <w:pPr>
        <w:spacing w:line="720" w:lineRule="auto"/>
        <w:ind w:firstLine="2419" w:firstLineChars="753"/>
        <w:rPr>
          <w:rFonts w:hint="eastAsia" w:ascii="宋体" w:hAnsi="宋体" w:eastAsia="宋体" w:cs="宋体"/>
          <w:b/>
          <w:color w:val="auto"/>
          <w:sz w:val="32"/>
          <w:szCs w:val="32"/>
        </w:rPr>
      </w:pPr>
    </w:p>
    <w:p w14:paraId="57718519">
      <w:pPr>
        <w:spacing w:line="72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6"/>
          <w:szCs w:val="36"/>
        </w:rPr>
        <w:t>山东质联认证有限公司</w:t>
      </w:r>
    </w:p>
    <w:bookmarkEnd w:id="0"/>
    <w:p w14:paraId="4B59DA29">
      <w:pPr>
        <w:ind w:firstLine="480" w:firstLineChars="200"/>
        <w:rPr>
          <w:rFonts w:hint="eastAsia" w:eastAsia="宋体"/>
          <w:color w:val="auto"/>
          <w:lang w:eastAsia="zh-CN"/>
        </w:rPr>
      </w:pPr>
      <w:r>
        <w:rPr>
          <w:rFonts w:hint="eastAsia" w:ascii="宋体" w:hAnsi="宋体" w:eastAsia="宋体" w:cs="宋体"/>
          <w:bCs/>
          <w:color w:val="auto"/>
          <w:sz w:val="24"/>
        </w:rPr>
        <w:t xml:space="preserve">                                                                                                                                 </w:t>
      </w:r>
      <w:r>
        <w:rPr>
          <w:rFonts w:hint="eastAsia" w:ascii="宋体" w:hAnsi="宋体" w:eastAsia="宋体" w:cs="宋体"/>
          <w:bCs/>
          <w:color w:val="auto"/>
          <w:sz w:val="24"/>
        </w:rPr>
        <w:br w:type="page"/>
      </w:r>
      <w:r>
        <w:rPr>
          <w:rFonts w:hint="eastAsia" w:ascii="宋体" w:hAnsi="宋体" w:eastAsia="宋体" w:cs="宋体"/>
          <w:bCs/>
          <w:color w:val="auto"/>
          <w:sz w:val="24"/>
          <w:lang w:val="en-US" w:eastAsia="zh-CN"/>
        </w:rPr>
        <w:t xml:space="preserve">   </w:t>
      </w:r>
      <w:r>
        <w:rPr>
          <w:rFonts w:hint="eastAsia" w:ascii="宋体" w:hAnsi="宋体" w:eastAsia="宋体" w:cs="宋体"/>
          <w:bCs/>
          <w:color w:val="auto"/>
          <w:szCs w:val="21"/>
          <w:highlight w:val="none"/>
          <w:lang w:eastAsia="zh-CN"/>
        </w:rPr>
        <w:t>甲乙双方依据《中华人民共和国民法典》《中华人民共和国认证认可条例》《认证机构管理办法》及其他相关法律、法规之规定，经约定，乙方将遵循国家认证认可法律法规、相关认证规则及认证实施方案为甲方提供认证服务；双方就认证服务具体项目协商一致，特</w:t>
      </w:r>
      <w:r>
        <w:rPr>
          <w:rFonts w:hint="eastAsia" w:ascii="宋体" w:hAnsi="宋体" w:cs="宋体"/>
          <w:bCs/>
          <w:color w:val="auto"/>
          <w:szCs w:val="21"/>
          <w:highlight w:val="none"/>
          <w:lang w:eastAsia="zh-CN"/>
        </w:rPr>
        <w:t>签订</w:t>
      </w:r>
      <w:r>
        <w:rPr>
          <w:rFonts w:hint="eastAsia" w:ascii="宋体" w:hAnsi="宋体" w:eastAsia="宋体" w:cs="宋体"/>
          <w:bCs/>
          <w:color w:val="auto"/>
          <w:szCs w:val="21"/>
          <w:highlight w:val="none"/>
          <w:lang w:eastAsia="zh-CN"/>
        </w:rPr>
        <w:t>本合同。</w:t>
      </w:r>
    </w:p>
    <w:p w14:paraId="13962A62">
      <w:pPr>
        <w:ind w:firstLine="420" w:firstLineChars="200"/>
        <w:rPr>
          <w:rFonts w:hint="eastAsia" w:ascii="宋体" w:hAnsi="宋体" w:eastAsia="宋体" w:cs="宋体"/>
          <w:bCs/>
          <w:color w:val="auto"/>
          <w:szCs w:val="21"/>
          <w:highlight w:val="none"/>
          <w:lang w:eastAsia="zh-CN"/>
        </w:rPr>
      </w:pPr>
    </w:p>
    <w:p w14:paraId="68FE4A24">
      <w:pPr>
        <w:numPr>
          <w:ilvl w:val="0"/>
          <w:numId w:val="1"/>
        </w:numPr>
        <w:ind w:firstLine="422" w:firstLineChars="200"/>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内容和范围</w:t>
      </w:r>
    </w:p>
    <w:p w14:paraId="30242E98">
      <w:pPr>
        <w:numPr>
          <w:ilvl w:val="1"/>
          <w:numId w:val="2"/>
        </w:numPr>
        <w:autoSpaceDE w:val="0"/>
        <w:autoSpaceDN w:val="0"/>
        <w:adjustRightInd w:val="0"/>
        <w:spacing w:line="340" w:lineRule="exact"/>
        <w:ind w:left="357" w:leftChars="170"/>
        <w:jc w:val="left"/>
        <w:rPr>
          <w:rFonts w:hint="eastAsia" w:ascii="宋体" w:hAnsi="宋体" w:eastAsia="宋体" w:cs="宋体"/>
          <w:bCs/>
          <w:color w:val="auto"/>
          <w:szCs w:val="21"/>
          <w:highlight w:val="none"/>
          <w:u w:val="single"/>
          <w:lang w:val="en-US" w:eastAsia="zh-CN"/>
        </w:rPr>
      </w:pPr>
      <w:permStart w:id="2" w:edGrp="everyone"/>
      <w:r>
        <w:rPr>
          <w:rFonts w:hint="eastAsia" w:ascii="宋体" w:hAnsi="宋体" w:eastAsia="宋体" w:cs="宋体"/>
          <w:bCs/>
          <w:color w:val="auto"/>
          <w:szCs w:val="21"/>
          <w:highlight w:val="none"/>
        </w:rPr>
        <w:t>合同类型</w:t>
      </w:r>
      <w:r>
        <w:rPr>
          <w:rFonts w:hint="eastAsia" w:ascii="宋体" w:hAnsi="宋体" w:eastAsia="宋体" w:cs="宋体"/>
          <w:bCs/>
          <w:color w:val="auto"/>
          <w:szCs w:val="21"/>
          <w:highlight w:val="none"/>
          <w:lang w:eastAsia="zh-CN"/>
        </w:rPr>
        <w:t>：</w:t>
      </w:r>
      <w:r>
        <w:rPr>
          <w:rFonts w:hint="eastAsia" w:ascii="宋体" w:hAnsi="宋体" w:eastAsia="宋体" w:cs="宋体"/>
          <w:color w:val="auto"/>
          <w:szCs w:val="21"/>
          <w:highlight w:val="none"/>
        </w:rPr>
        <w:t xml:space="preserve"> </w:t>
      </w:r>
      <w:r>
        <w:rPr>
          <w:rFonts w:hint="eastAsia"/>
          <w:color w:val="auto"/>
        </w:rPr>
        <w:t>□</w:t>
      </w:r>
      <w:r>
        <w:rPr>
          <w:rFonts w:hint="eastAsia" w:ascii="宋体" w:hAnsi="宋体" w:eastAsia="宋体" w:cs="宋体"/>
          <w:color w:val="auto"/>
          <w:szCs w:val="21"/>
          <w:highlight w:val="none"/>
        </w:rPr>
        <w:t>初次认证   □再认证    □扩大认证范围   □其他</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ermEnd w:id="2"/>
      <w:r>
        <w:rPr>
          <w:rFonts w:hint="eastAsia" w:ascii="宋体" w:hAnsi="宋体" w:eastAsia="宋体" w:cs="宋体"/>
          <w:color w:val="auto"/>
          <w:szCs w:val="21"/>
          <w:highlight w:val="none"/>
          <w:u w:val="single"/>
        </w:rPr>
        <w:t xml:space="preserve"> </w:t>
      </w:r>
    </w:p>
    <w:p w14:paraId="2F5A6F80">
      <w:pPr>
        <w:numPr>
          <w:ilvl w:val="1"/>
          <w:numId w:val="2"/>
        </w:numPr>
        <w:autoSpaceDE w:val="0"/>
        <w:autoSpaceDN w:val="0"/>
        <w:adjustRightInd w:val="0"/>
        <w:spacing w:line="340" w:lineRule="exact"/>
        <w:ind w:left="357" w:leftChars="170"/>
        <w:jc w:val="left"/>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认证服务项目及认可标识（在□内划√</w:t>
      </w:r>
      <w:r>
        <w:rPr>
          <w:rFonts w:hint="eastAsia" w:ascii="宋体" w:hAnsi="宋体" w:eastAsia="宋体" w:cs="宋体"/>
          <w:bCs/>
          <w:color w:val="auto"/>
          <w:szCs w:val="21"/>
          <w:highlight w:val="none"/>
          <w:lang w:eastAsia="zh-CN"/>
        </w:rPr>
        <w:t>或用■</w:t>
      </w:r>
      <w:r>
        <w:rPr>
          <w:rFonts w:hint="eastAsia" w:ascii="宋体" w:hAnsi="宋体" w:eastAsia="宋体" w:cs="宋体"/>
          <w:bCs/>
          <w:color w:val="auto"/>
          <w:szCs w:val="21"/>
          <w:highlight w:val="none"/>
        </w:rPr>
        <w:t>表示适用于该项）</w:t>
      </w:r>
    </w:p>
    <w:tbl>
      <w:tblPr>
        <w:tblStyle w:val="10"/>
        <w:tblpPr w:leftFromText="180" w:rightFromText="180" w:vertAnchor="text" w:horzAnchor="page" w:tblpX="1457" w:tblpY="337"/>
        <w:tblOverlap w:val="never"/>
        <w:tblW w:w="4582" w:type="pct"/>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autofit"/>
        <w:tblCellMar>
          <w:top w:w="0" w:type="dxa"/>
          <w:left w:w="108" w:type="dxa"/>
          <w:bottom w:w="0" w:type="dxa"/>
          <w:right w:w="108" w:type="dxa"/>
        </w:tblCellMar>
      </w:tblPr>
      <w:tblGrid>
        <w:gridCol w:w="645"/>
        <w:gridCol w:w="4354"/>
        <w:gridCol w:w="4136"/>
      </w:tblGrid>
      <w:tr w14:paraId="241F313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353" w:type="pct"/>
            <w:noWrap w:val="0"/>
            <w:vAlign w:val="center"/>
          </w:tcPr>
          <w:p w14:paraId="565FA7E5">
            <w:pPr>
              <w:spacing w:line="340" w:lineRule="exact"/>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序号</w:t>
            </w:r>
          </w:p>
        </w:tc>
        <w:tc>
          <w:tcPr>
            <w:tcW w:w="2383" w:type="pct"/>
            <w:noWrap w:val="0"/>
            <w:vAlign w:val="center"/>
          </w:tcPr>
          <w:p w14:paraId="07340491">
            <w:pPr>
              <w:spacing w:line="340" w:lineRule="exact"/>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认证领域</w:t>
            </w:r>
          </w:p>
        </w:tc>
        <w:tc>
          <w:tcPr>
            <w:tcW w:w="2263" w:type="pct"/>
            <w:noWrap w:val="0"/>
            <w:vAlign w:val="center"/>
          </w:tcPr>
          <w:p w14:paraId="1122BB67">
            <w:pPr>
              <w:spacing w:line="340" w:lineRule="exact"/>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认证依据标准</w:t>
            </w:r>
          </w:p>
        </w:tc>
      </w:tr>
      <w:tr w14:paraId="2B2B2EA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94" w:hRule="atLeast"/>
        </w:trPr>
        <w:tc>
          <w:tcPr>
            <w:tcW w:w="353" w:type="pct"/>
            <w:noWrap w:val="0"/>
            <w:vAlign w:val="center"/>
          </w:tcPr>
          <w:p w14:paraId="77CAC3BB">
            <w:pPr>
              <w:spacing w:line="340" w:lineRule="exact"/>
              <w:jc w:val="center"/>
              <w:rPr>
                <w:rFonts w:hint="eastAsia" w:ascii="宋体" w:hAnsi="宋体" w:eastAsia="宋体" w:cs="宋体"/>
                <w:bCs/>
                <w:color w:val="auto"/>
                <w:szCs w:val="21"/>
                <w:highlight w:val="none"/>
              </w:rPr>
            </w:pPr>
            <w:permStart w:id="3" w:edGrp="everyone" w:colFirst="0" w:colLast="0"/>
            <w:permStart w:id="4" w:edGrp="everyone" w:colFirst="1" w:colLast="1"/>
            <w:permStart w:id="5" w:edGrp="everyone" w:colFirst="2" w:colLast="2"/>
            <w:r>
              <w:rPr>
                <w:rFonts w:hint="eastAsia" w:ascii="宋体" w:hAnsi="宋体" w:eastAsia="宋体" w:cs="宋体"/>
                <w:bCs/>
                <w:color w:val="auto"/>
                <w:szCs w:val="21"/>
                <w:highlight w:val="none"/>
              </w:rPr>
              <w:t>1</w:t>
            </w:r>
          </w:p>
        </w:tc>
        <w:tc>
          <w:tcPr>
            <w:tcW w:w="2383" w:type="pct"/>
            <w:noWrap w:val="0"/>
            <w:vAlign w:val="center"/>
          </w:tcPr>
          <w:p w14:paraId="1CE18773">
            <w:pPr>
              <w:spacing w:line="340" w:lineRule="exact"/>
              <w:jc w:val="left"/>
              <w:rPr>
                <w:rFonts w:hint="eastAsia" w:ascii="宋体" w:hAnsi="宋体" w:eastAsia="宋体" w:cs="宋体"/>
                <w:bCs/>
                <w:color w:val="auto"/>
                <w:szCs w:val="21"/>
                <w:highlight w:val="none"/>
              </w:rPr>
            </w:pPr>
            <w:r>
              <w:rPr>
                <w:rFonts w:hint="eastAsia"/>
                <w:color w:val="auto"/>
              </w:rPr>
              <w:t>□</w:t>
            </w:r>
            <w:r>
              <w:rPr>
                <w:rFonts w:hint="eastAsia" w:ascii="宋体" w:hAnsi="宋体" w:eastAsia="宋体" w:cs="宋体"/>
                <w:bCs/>
                <w:color w:val="auto"/>
                <w:szCs w:val="21"/>
                <w:highlight w:val="none"/>
              </w:rPr>
              <w:t>质量管理体系</w:t>
            </w:r>
          </w:p>
        </w:tc>
        <w:tc>
          <w:tcPr>
            <w:tcW w:w="2263" w:type="pct"/>
            <w:noWrap w:val="0"/>
            <w:vAlign w:val="center"/>
          </w:tcPr>
          <w:p w14:paraId="725B8713">
            <w:pPr>
              <w:spacing w:line="340" w:lineRule="exact"/>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GB/T19001-2016/ ISO9001:2015</w:t>
            </w:r>
          </w:p>
        </w:tc>
      </w:tr>
      <w:permEnd w:id="3"/>
      <w:permEnd w:id="4"/>
      <w:permEnd w:id="5"/>
      <w:tr w14:paraId="6D9598A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94" w:hRule="atLeast"/>
        </w:trPr>
        <w:tc>
          <w:tcPr>
            <w:tcW w:w="353" w:type="pct"/>
            <w:noWrap w:val="0"/>
            <w:vAlign w:val="center"/>
          </w:tcPr>
          <w:p w14:paraId="60B8C251">
            <w:pPr>
              <w:spacing w:line="340" w:lineRule="exact"/>
              <w:jc w:val="center"/>
              <w:rPr>
                <w:rFonts w:hint="eastAsia" w:ascii="宋体" w:hAnsi="宋体" w:eastAsia="宋体" w:cs="宋体"/>
                <w:bCs/>
                <w:color w:val="auto"/>
                <w:szCs w:val="21"/>
                <w:highlight w:val="none"/>
              </w:rPr>
            </w:pPr>
            <w:permStart w:id="6" w:edGrp="everyone" w:colFirst="0" w:colLast="0"/>
            <w:permStart w:id="7" w:edGrp="everyone" w:colFirst="1" w:colLast="1"/>
            <w:permStart w:id="8" w:edGrp="everyone" w:colFirst="2" w:colLast="2"/>
            <w:r>
              <w:rPr>
                <w:rFonts w:hint="eastAsia" w:ascii="宋体" w:hAnsi="宋体" w:eastAsia="宋体" w:cs="宋体"/>
                <w:bCs/>
                <w:color w:val="auto"/>
                <w:szCs w:val="21"/>
                <w:highlight w:val="none"/>
              </w:rPr>
              <w:t>2</w:t>
            </w:r>
          </w:p>
        </w:tc>
        <w:tc>
          <w:tcPr>
            <w:tcW w:w="2383" w:type="pct"/>
            <w:noWrap w:val="0"/>
            <w:vAlign w:val="center"/>
          </w:tcPr>
          <w:p w14:paraId="559D6F61">
            <w:pPr>
              <w:spacing w:line="340" w:lineRule="exact"/>
              <w:jc w:val="left"/>
              <w:rPr>
                <w:rFonts w:hint="eastAsia" w:ascii="宋体" w:hAnsi="宋体" w:eastAsia="宋体" w:cs="宋体"/>
                <w:bCs/>
                <w:color w:val="auto"/>
                <w:szCs w:val="21"/>
                <w:highlight w:val="none"/>
              </w:rPr>
            </w:pPr>
            <w:r>
              <w:rPr>
                <w:rFonts w:hint="eastAsia" w:ascii="宋体" w:hAnsi="宋体" w:eastAsia="宋体" w:cs="宋体"/>
                <w:color w:val="auto"/>
                <w:highlight w:val="none"/>
              </w:rPr>
              <w:t>□工程建设施工企业质量管</w:t>
            </w:r>
            <w:r>
              <w:rPr>
                <w:rFonts w:hint="eastAsia" w:ascii="宋体" w:hAnsi="宋体" w:eastAsia="宋体" w:cs="宋体"/>
                <w:color w:val="auto"/>
                <w:highlight w:val="none"/>
                <w:lang w:val="en-US" w:eastAsia="zh-CN"/>
              </w:rPr>
              <w:t>理</w:t>
            </w:r>
            <w:r>
              <w:rPr>
                <w:rFonts w:hint="eastAsia" w:ascii="宋体" w:hAnsi="宋体" w:eastAsia="宋体" w:cs="宋体"/>
                <w:color w:val="auto"/>
                <w:highlight w:val="none"/>
              </w:rPr>
              <w:t>规范</w:t>
            </w:r>
          </w:p>
        </w:tc>
        <w:tc>
          <w:tcPr>
            <w:tcW w:w="2263" w:type="pct"/>
            <w:noWrap w:val="0"/>
            <w:vAlign w:val="center"/>
          </w:tcPr>
          <w:p w14:paraId="4F82BFAE">
            <w:pPr>
              <w:spacing w:line="340" w:lineRule="exact"/>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w:t>
            </w:r>
            <w:r>
              <w:rPr>
                <w:rFonts w:hint="eastAsia" w:ascii="宋体" w:hAnsi="宋体" w:eastAsia="宋体" w:cs="宋体"/>
                <w:color w:val="auto"/>
                <w:highlight w:val="none"/>
              </w:rPr>
              <w:t>GB/T 50430-2017</w:t>
            </w:r>
          </w:p>
        </w:tc>
      </w:tr>
      <w:permEnd w:id="6"/>
      <w:permEnd w:id="7"/>
      <w:permEnd w:id="8"/>
      <w:tr w14:paraId="422A0E3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94" w:hRule="atLeast"/>
        </w:trPr>
        <w:tc>
          <w:tcPr>
            <w:tcW w:w="353" w:type="pct"/>
            <w:noWrap w:val="0"/>
            <w:vAlign w:val="center"/>
          </w:tcPr>
          <w:p w14:paraId="706C2B4B">
            <w:pPr>
              <w:spacing w:line="340" w:lineRule="exact"/>
              <w:jc w:val="center"/>
              <w:rPr>
                <w:rFonts w:hint="eastAsia" w:ascii="宋体" w:hAnsi="宋体" w:eastAsia="宋体" w:cs="宋体"/>
                <w:bCs/>
                <w:color w:val="auto"/>
                <w:szCs w:val="21"/>
                <w:highlight w:val="none"/>
              </w:rPr>
            </w:pPr>
            <w:permStart w:id="9" w:edGrp="everyone" w:colFirst="0" w:colLast="0"/>
            <w:permStart w:id="10" w:edGrp="everyone" w:colFirst="1" w:colLast="1"/>
            <w:permStart w:id="11" w:edGrp="everyone" w:colFirst="2" w:colLast="2"/>
            <w:r>
              <w:rPr>
                <w:rFonts w:hint="eastAsia" w:ascii="宋体" w:hAnsi="宋体" w:eastAsia="宋体" w:cs="宋体"/>
                <w:bCs/>
                <w:color w:val="auto"/>
                <w:szCs w:val="21"/>
                <w:highlight w:val="none"/>
                <w:lang w:val="en-US" w:eastAsia="zh-CN"/>
              </w:rPr>
              <w:t>3</w:t>
            </w:r>
          </w:p>
        </w:tc>
        <w:tc>
          <w:tcPr>
            <w:tcW w:w="2383" w:type="pct"/>
            <w:noWrap w:val="0"/>
            <w:vAlign w:val="center"/>
          </w:tcPr>
          <w:p w14:paraId="79122492">
            <w:pPr>
              <w:spacing w:line="340" w:lineRule="exact"/>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环境管理体系</w:t>
            </w:r>
          </w:p>
        </w:tc>
        <w:tc>
          <w:tcPr>
            <w:tcW w:w="2263" w:type="pct"/>
            <w:noWrap w:val="0"/>
            <w:vAlign w:val="center"/>
          </w:tcPr>
          <w:p w14:paraId="2B0DE308">
            <w:pPr>
              <w:spacing w:line="340" w:lineRule="exact"/>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GB/T24001-2016/ ISO14001:2015</w:t>
            </w:r>
          </w:p>
        </w:tc>
      </w:tr>
      <w:permEnd w:id="9"/>
      <w:permEnd w:id="10"/>
      <w:permEnd w:id="11"/>
      <w:tr w14:paraId="30B233D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94" w:hRule="atLeast"/>
        </w:trPr>
        <w:tc>
          <w:tcPr>
            <w:tcW w:w="353" w:type="pct"/>
            <w:noWrap w:val="0"/>
            <w:vAlign w:val="center"/>
          </w:tcPr>
          <w:p w14:paraId="46442137">
            <w:pPr>
              <w:spacing w:line="340" w:lineRule="exact"/>
              <w:jc w:val="center"/>
              <w:rPr>
                <w:rFonts w:hint="eastAsia" w:ascii="宋体" w:hAnsi="宋体" w:eastAsia="宋体" w:cs="宋体"/>
                <w:bCs/>
                <w:color w:val="auto"/>
                <w:szCs w:val="21"/>
                <w:highlight w:val="none"/>
                <w:lang w:val="en-US" w:eastAsia="zh-CN"/>
              </w:rPr>
            </w:pPr>
            <w:permStart w:id="12" w:edGrp="everyone" w:colFirst="0" w:colLast="0"/>
            <w:permStart w:id="13" w:edGrp="everyone" w:colFirst="1" w:colLast="1"/>
            <w:permStart w:id="14" w:edGrp="everyone" w:colFirst="2" w:colLast="2"/>
            <w:r>
              <w:rPr>
                <w:rFonts w:hint="eastAsia" w:ascii="宋体" w:hAnsi="宋体" w:eastAsia="宋体" w:cs="宋体"/>
                <w:bCs/>
                <w:color w:val="auto"/>
                <w:szCs w:val="21"/>
                <w:highlight w:val="none"/>
                <w:lang w:val="en-US" w:eastAsia="zh-CN"/>
              </w:rPr>
              <w:t>4</w:t>
            </w:r>
          </w:p>
        </w:tc>
        <w:tc>
          <w:tcPr>
            <w:tcW w:w="2383" w:type="pct"/>
            <w:noWrap w:val="0"/>
            <w:vAlign w:val="center"/>
          </w:tcPr>
          <w:p w14:paraId="0F9446C6">
            <w:pPr>
              <w:spacing w:line="340" w:lineRule="exact"/>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职业健康安全管理体系</w:t>
            </w:r>
          </w:p>
        </w:tc>
        <w:tc>
          <w:tcPr>
            <w:tcW w:w="2263" w:type="pct"/>
            <w:noWrap w:val="0"/>
            <w:vAlign w:val="center"/>
          </w:tcPr>
          <w:p w14:paraId="0637BAF5">
            <w:pPr>
              <w:spacing w:line="340" w:lineRule="exact"/>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GB/T45001-2020/ISO45001:2018</w:t>
            </w:r>
          </w:p>
        </w:tc>
      </w:tr>
      <w:permEnd w:id="12"/>
      <w:permEnd w:id="13"/>
      <w:permEnd w:id="14"/>
      <w:tr w14:paraId="330E3DE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0" w:hRule="atLeast"/>
        </w:trPr>
        <w:tc>
          <w:tcPr>
            <w:tcW w:w="353" w:type="pct"/>
            <w:noWrap w:val="0"/>
            <w:vAlign w:val="center"/>
          </w:tcPr>
          <w:p w14:paraId="36912255">
            <w:pPr>
              <w:spacing w:line="340" w:lineRule="exact"/>
              <w:jc w:val="center"/>
              <w:rPr>
                <w:rFonts w:hint="eastAsia" w:ascii="宋体" w:hAnsi="宋体" w:eastAsia="宋体" w:cs="宋体"/>
                <w:bCs/>
                <w:color w:val="auto"/>
                <w:szCs w:val="21"/>
                <w:highlight w:val="none"/>
                <w:lang w:val="en-US" w:eastAsia="zh-CN"/>
              </w:rPr>
            </w:pPr>
            <w:permStart w:id="15" w:edGrp="everyone" w:colFirst="0" w:colLast="0"/>
            <w:permStart w:id="16" w:edGrp="everyone" w:colFirst="1" w:colLast="1"/>
            <w:permStart w:id="17" w:edGrp="everyone" w:colFirst="2" w:colLast="2"/>
            <w:r>
              <w:rPr>
                <w:rFonts w:hint="eastAsia" w:ascii="宋体" w:hAnsi="宋体" w:eastAsia="宋体" w:cs="宋体"/>
                <w:bCs/>
                <w:color w:val="auto"/>
                <w:szCs w:val="21"/>
                <w:highlight w:val="none"/>
                <w:lang w:val="en-US" w:eastAsia="zh-CN"/>
              </w:rPr>
              <w:t>5</w:t>
            </w:r>
          </w:p>
        </w:tc>
        <w:tc>
          <w:tcPr>
            <w:tcW w:w="2383" w:type="pct"/>
            <w:noWrap w:val="0"/>
            <w:vAlign w:val="center"/>
          </w:tcPr>
          <w:p w14:paraId="47BEA8C4">
            <w:pPr>
              <w:spacing w:line="340" w:lineRule="exact"/>
              <w:jc w:val="both"/>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Cs w:val="21"/>
                <w:highlight w:val="none"/>
                <w:lang w:eastAsia="zh-CN"/>
              </w:rPr>
              <w:t>□</w:t>
            </w:r>
            <w:r>
              <w:rPr>
                <w:rFonts w:hint="eastAsia" w:ascii="宋体" w:hAnsi="宋体" w:cs="宋体"/>
                <w:bCs/>
                <w:color w:val="auto"/>
                <w:szCs w:val="21"/>
                <w:highlight w:val="none"/>
                <w:lang w:eastAsia="zh-CN"/>
              </w:rPr>
              <w:t>企业</w:t>
            </w:r>
            <w:r>
              <w:rPr>
                <w:rFonts w:hint="eastAsia" w:ascii="宋体" w:hAnsi="宋体" w:eastAsia="宋体" w:cs="宋体"/>
                <w:bCs/>
                <w:color w:val="auto"/>
                <w:szCs w:val="21"/>
                <w:highlight w:val="none"/>
                <w:lang w:eastAsia="zh-CN"/>
              </w:rPr>
              <w:t>诚信管理体系</w:t>
            </w:r>
          </w:p>
        </w:tc>
        <w:tc>
          <w:tcPr>
            <w:tcW w:w="2263" w:type="pct"/>
            <w:noWrap w:val="0"/>
            <w:vAlign w:val="center"/>
          </w:tcPr>
          <w:p w14:paraId="44F9987D">
            <w:pPr>
              <w:spacing w:line="340" w:lineRule="exact"/>
              <w:jc w:val="both"/>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GB/T</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lang w:val="en-US" w:eastAsia="zh-CN"/>
              </w:rPr>
              <w:t>31950-2023</w:t>
            </w:r>
          </w:p>
        </w:tc>
      </w:tr>
      <w:permEnd w:id="15"/>
      <w:permEnd w:id="16"/>
      <w:permEnd w:id="17"/>
      <w:tr w14:paraId="2379EEA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9" w:hRule="atLeast"/>
        </w:trPr>
        <w:tc>
          <w:tcPr>
            <w:tcW w:w="353" w:type="pct"/>
            <w:noWrap w:val="0"/>
            <w:vAlign w:val="center"/>
          </w:tcPr>
          <w:p w14:paraId="4AFE6612">
            <w:pPr>
              <w:spacing w:line="340" w:lineRule="exact"/>
              <w:jc w:val="center"/>
              <w:rPr>
                <w:rFonts w:hint="eastAsia" w:ascii="宋体" w:hAnsi="宋体" w:eastAsia="宋体" w:cs="宋体"/>
                <w:bCs/>
                <w:color w:val="auto"/>
                <w:szCs w:val="21"/>
                <w:highlight w:val="none"/>
                <w:lang w:val="en-US" w:eastAsia="zh-CN"/>
              </w:rPr>
            </w:pPr>
            <w:permStart w:id="18" w:edGrp="everyone" w:colFirst="0" w:colLast="0"/>
            <w:permStart w:id="19" w:edGrp="everyone" w:colFirst="1" w:colLast="1"/>
            <w:permStart w:id="20" w:edGrp="everyone" w:colFirst="2" w:colLast="2"/>
            <w:r>
              <w:rPr>
                <w:rFonts w:hint="eastAsia" w:ascii="宋体" w:hAnsi="宋体" w:cs="宋体"/>
                <w:bCs/>
                <w:color w:val="auto"/>
                <w:szCs w:val="21"/>
                <w:highlight w:val="none"/>
                <w:lang w:val="en-US" w:eastAsia="zh-CN"/>
              </w:rPr>
              <w:t>6</w:t>
            </w:r>
          </w:p>
        </w:tc>
        <w:tc>
          <w:tcPr>
            <w:tcW w:w="2383" w:type="pct"/>
            <w:noWrap w:val="0"/>
            <w:vAlign w:val="center"/>
          </w:tcPr>
          <w:p w14:paraId="3E829368">
            <w:pPr>
              <w:spacing w:line="340" w:lineRule="exact"/>
              <w:jc w:val="both"/>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□其他</w:t>
            </w:r>
            <w:r>
              <w:rPr>
                <w:rFonts w:hint="eastAsia" w:ascii="宋体" w:hAnsi="宋体" w:cs="宋体"/>
                <w:bCs/>
                <w:color w:val="auto"/>
                <w:szCs w:val="21"/>
                <w:highlight w:val="none"/>
                <w:lang w:eastAsia="zh-CN"/>
              </w:rPr>
              <w:t>管理体系（已备案有效的管理体系）</w:t>
            </w:r>
          </w:p>
        </w:tc>
        <w:tc>
          <w:tcPr>
            <w:tcW w:w="2263" w:type="pct"/>
            <w:noWrap w:val="0"/>
            <w:vAlign w:val="center"/>
          </w:tcPr>
          <w:p w14:paraId="2907E521">
            <w:pPr>
              <w:spacing w:line="340" w:lineRule="exact"/>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p>
        </w:tc>
      </w:tr>
      <w:permEnd w:id="18"/>
      <w:permEnd w:id="19"/>
      <w:permEnd w:id="20"/>
      <w:tr w14:paraId="087FD40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04" w:hRule="atLeast"/>
        </w:trPr>
        <w:tc>
          <w:tcPr>
            <w:tcW w:w="5000" w:type="pct"/>
            <w:gridSpan w:val="3"/>
            <w:noWrap w:val="0"/>
            <w:vAlign w:val="center"/>
          </w:tcPr>
          <w:p w14:paraId="6179BA5A">
            <w:pPr>
              <w:spacing w:line="340" w:lineRule="exact"/>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甲方按上述标准和适用的法律法规建立管理体系，</w:t>
            </w:r>
            <w:r>
              <w:rPr>
                <w:rFonts w:hint="eastAsia" w:ascii="宋体" w:hAnsi="宋体" w:cs="宋体"/>
                <w:bCs/>
                <w:color w:val="auto"/>
                <w:szCs w:val="21"/>
                <w:highlight w:val="none"/>
                <w:lang w:eastAsia="zh-CN"/>
              </w:rPr>
              <w:t>并已有效</w:t>
            </w:r>
            <w:r>
              <w:rPr>
                <w:rFonts w:hint="eastAsia" w:ascii="宋体" w:hAnsi="宋体" w:eastAsia="宋体" w:cs="宋体"/>
                <w:bCs/>
                <w:color w:val="auto"/>
                <w:szCs w:val="21"/>
                <w:highlight w:val="none"/>
              </w:rPr>
              <w:t>运行</w:t>
            </w:r>
            <w:r>
              <w:rPr>
                <w:rFonts w:hint="eastAsia" w:ascii="宋体" w:hAnsi="宋体" w:cs="宋体"/>
                <w:bCs/>
                <w:color w:val="auto"/>
                <w:szCs w:val="21"/>
                <w:highlight w:val="none"/>
                <w:lang w:eastAsia="zh-CN"/>
              </w:rPr>
              <w:t>满</w:t>
            </w:r>
            <w:r>
              <w:rPr>
                <w:rFonts w:hint="eastAsia" w:ascii="宋体" w:hAnsi="宋体" w:eastAsia="宋体" w:cs="宋体"/>
                <w:bCs/>
                <w:color w:val="auto"/>
                <w:szCs w:val="21"/>
                <w:highlight w:val="none"/>
              </w:rPr>
              <w:t>三个月</w:t>
            </w:r>
            <w:r>
              <w:rPr>
                <w:rFonts w:hint="eastAsia" w:ascii="宋体" w:hAnsi="宋体" w:cs="宋体"/>
                <w:bCs/>
                <w:color w:val="auto"/>
                <w:szCs w:val="21"/>
                <w:highlight w:val="none"/>
                <w:lang w:eastAsia="zh-CN"/>
              </w:rPr>
              <w:t>。</w:t>
            </w:r>
          </w:p>
        </w:tc>
      </w:tr>
    </w:tbl>
    <w:p w14:paraId="75C609DB">
      <w:pPr>
        <w:numPr>
          <w:ilvl w:val="0"/>
          <w:numId w:val="0"/>
        </w:numPr>
        <w:autoSpaceDE w:val="0"/>
        <w:autoSpaceDN w:val="0"/>
        <w:adjustRightInd w:val="0"/>
        <w:spacing w:line="340" w:lineRule="exact"/>
        <w:ind w:leftChars="170"/>
        <w:jc w:val="left"/>
        <w:rPr>
          <w:rFonts w:hint="eastAsia" w:ascii="宋体" w:hAnsi="宋体" w:eastAsia="宋体" w:cs="宋体"/>
          <w:bCs/>
          <w:color w:val="auto"/>
          <w:szCs w:val="21"/>
          <w:highlight w:val="none"/>
          <w:u w:val="none"/>
          <w:lang w:val="en-US" w:eastAsia="zh-CN"/>
        </w:rPr>
      </w:pPr>
    </w:p>
    <w:p w14:paraId="7BA093B1">
      <w:pPr>
        <w:pStyle w:val="4"/>
        <w:spacing w:line="360" w:lineRule="auto"/>
        <w:ind w:left="0" w:leftChars="0" w:right="42" w:rightChars="20" w:firstLine="420" w:firstLineChars="200"/>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1.3申请认证范围：同《认证申请书》。[注：最终发证证书范围依据认证决定后确认的认证范围 ]</w:t>
      </w:r>
    </w:p>
    <w:p w14:paraId="1BD709B9">
      <w:pPr>
        <w:pStyle w:val="4"/>
        <w:spacing w:line="360" w:lineRule="auto"/>
        <w:ind w:left="0" w:leftChars="0" w:right="42" w:rightChars="20" w:firstLine="420" w:firstLineChars="200"/>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1.4认证覆盖的人数：同《认证申请书》。[注：最终证书覆盖的人数依据审核组现场确认的人数为准]；</w:t>
      </w:r>
    </w:p>
    <w:p w14:paraId="6ED78A60">
      <w:pPr>
        <w:pStyle w:val="4"/>
        <w:spacing w:line="360" w:lineRule="auto"/>
        <w:ind w:left="0" w:leftChars="0" w:right="42" w:rightChars="20" w:firstLine="420" w:firstLineChars="200"/>
        <w:rPr>
          <w:rFonts w:hint="eastAsia" w:ascii="宋体" w:hAnsi="宋体" w:eastAsia="宋体" w:cs="宋体"/>
          <w:bCs/>
          <w:color w:val="auto"/>
          <w:szCs w:val="21"/>
          <w:highlight w:val="none"/>
          <w:u w:val="none"/>
          <w:lang w:val="en-US" w:eastAsia="zh-CN"/>
        </w:rPr>
      </w:pPr>
      <w:permStart w:id="21" w:edGrp="everyone"/>
      <w:r>
        <w:rPr>
          <w:rFonts w:hint="eastAsia" w:ascii="宋体" w:hAnsi="宋体" w:eastAsia="宋体" w:cs="宋体"/>
          <w:bCs/>
          <w:color w:val="auto"/>
          <w:szCs w:val="21"/>
          <w:highlight w:val="none"/>
          <w:u w:val="none"/>
          <w:lang w:val="en-US" w:eastAsia="zh-CN"/>
        </w:rPr>
        <w:t>1.5审核区域与场所：</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none"/>
          <w:lang w:val="en-US" w:eastAsia="zh-CN"/>
        </w:rPr>
        <w:t>；</w:t>
      </w:r>
    </w:p>
    <w:p w14:paraId="68889BF2">
      <w:pPr>
        <w:pStyle w:val="4"/>
        <w:spacing w:line="360" w:lineRule="auto"/>
        <w:ind w:left="0" w:leftChars="0" w:right="42" w:rightChars="20" w:firstLine="420" w:firstLineChars="200"/>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1.6希望现场认证审核日期为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none"/>
          <w:lang w:val="en-US" w:eastAsia="zh-CN"/>
        </w:rPr>
        <w:t>年</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none"/>
          <w:lang w:val="en-US" w:eastAsia="zh-CN"/>
        </w:rPr>
        <w:t>月</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none"/>
          <w:lang w:val="en-US" w:eastAsia="zh-CN"/>
        </w:rPr>
        <w:t>日，以双方最终协商一致的时间为准；</w:t>
      </w:r>
    </w:p>
    <w:p w14:paraId="48F62C6B">
      <w:pPr>
        <w:pStyle w:val="4"/>
        <w:spacing w:line="360" w:lineRule="auto"/>
        <w:ind w:left="0" w:leftChars="0" w:right="42" w:rightChars="20" w:firstLine="420" w:firstLineChars="200"/>
        <w:rPr>
          <w:rFonts w:hint="eastAsia" w:ascii="宋体" w:hAnsi="宋体" w:eastAsia="宋体" w:cs="宋体"/>
          <w:bCs/>
          <w:color w:val="auto"/>
          <w:szCs w:val="21"/>
          <w:highlight w:val="none"/>
          <w:u w:val="single"/>
          <w:lang w:val="en-US" w:eastAsia="zh-CN"/>
        </w:rPr>
      </w:pPr>
      <w:r>
        <w:rPr>
          <w:rFonts w:hint="eastAsia" w:ascii="宋体" w:hAnsi="宋体" w:eastAsia="宋体" w:cs="宋体"/>
          <w:bCs/>
          <w:color w:val="auto"/>
          <w:szCs w:val="21"/>
          <w:highlight w:val="none"/>
          <w:u w:val="none"/>
          <w:lang w:val="en-US" w:eastAsia="zh-CN"/>
        </w:rPr>
        <w:t>1.7 其它特殊要求：</w:t>
      </w:r>
      <w:r>
        <w:rPr>
          <w:rFonts w:hint="eastAsia" w:ascii="宋体" w:hAnsi="宋体" w:eastAsia="宋体" w:cs="宋体"/>
          <w:bCs/>
          <w:color w:val="auto"/>
          <w:szCs w:val="21"/>
          <w:highlight w:val="none"/>
          <w:u w:val="single"/>
          <w:lang w:val="en-US" w:eastAsia="zh-CN"/>
        </w:rPr>
        <w:t xml:space="preserve">                                                            </w:t>
      </w:r>
    </w:p>
    <w:p w14:paraId="79AA832D">
      <w:pPr>
        <w:pStyle w:val="4"/>
        <w:spacing w:line="360" w:lineRule="auto"/>
        <w:ind w:left="0" w:leftChars="0" w:right="42" w:rightChars="20" w:firstLine="422" w:firstLineChars="200"/>
        <w:rPr>
          <w:rFonts w:hint="eastAsia" w:ascii="宋体" w:hAnsi="宋体" w:eastAsia="宋体" w:cs="宋体"/>
          <w:b/>
          <w:bCs w:val="0"/>
          <w:color w:val="auto"/>
          <w:szCs w:val="21"/>
          <w:highlight w:val="none"/>
          <w:u w:val="none"/>
          <w:lang w:val="en-US" w:eastAsia="zh-CN"/>
        </w:rPr>
      </w:pPr>
      <w:r>
        <w:rPr>
          <w:rFonts w:hint="eastAsia" w:ascii="宋体" w:hAnsi="宋体" w:eastAsia="宋体" w:cs="宋体"/>
          <w:b/>
          <w:bCs w:val="0"/>
          <w:color w:val="auto"/>
          <w:szCs w:val="21"/>
          <w:highlight w:val="none"/>
          <w:u w:val="none"/>
          <w:lang w:val="en-US" w:eastAsia="zh-CN"/>
        </w:rPr>
        <w:t>二、认证费用付款方式</w:t>
      </w:r>
    </w:p>
    <w:p w14:paraId="7D72F255">
      <w:pPr>
        <w:pStyle w:val="4"/>
        <w:spacing w:line="360" w:lineRule="auto"/>
        <w:ind w:left="0" w:leftChars="0" w:right="42" w:rightChars="20" w:firstLine="420" w:firstLineChars="200"/>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1.</w:t>
      </w:r>
      <w:r>
        <w:rPr>
          <w:rFonts w:hint="eastAsia" w:hAnsi="宋体" w:cs="宋体"/>
          <w:bCs/>
          <w:color w:val="auto"/>
          <w:szCs w:val="21"/>
          <w:highlight w:val="none"/>
          <w:u w:val="none"/>
          <w:lang w:val="en-US" w:eastAsia="zh-CN"/>
        </w:rPr>
        <w:t>初次/再</w:t>
      </w:r>
      <w:r>
        <w:rPr>
          <w:rFonts w:hint="eastAsia" w:ascii="宋体" w:hAnsi="宋体" w:eastAsia="宋体" w:cs="宋体"/>
          <w:bCs/>
          <w:color w:val="auto"/>
          <w:szCs w:val="21"/>
          <w:highlight w:val="none"/>
          <w:u w:val="none"/>
          <w:lang w:val="en-US" w:eastAsia="zh-CN"/>
        </w:rPr>
        <w:t>认证费用</w:t>
      </w:r>
    </w:p>
    <w:p w14:paraId="10965D19">
      <w:pPr>
        <w:pStyle w:val="4"/>
        <w:spacing w:line="360" w:lineRule="auto"/>
        <w:ind w:left="0" w:leftChars="0" w:right="42" w:rightChars="20" w:firstLine="420" w:firstLineChars="200"/>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1）</w:t>
      </w:r>
      <w:r>
        <w:rPr>
          <w:rFonts w:hint="eastAsia" w:hAnsi="宋体" w:cs="宋体"/>
          <w:bCs/>
          <w:color w:val="auto"/>
          <w:szCs w:val="21"/>
          <w:highlight w:val="none"/>
          <w:u w:val="none"/>
          <w:lang w:val="en-US" w:eastAsia="zh-CN"/>
        </w:rPr>
        <w:t>认证服务费</w:t>
      </w:r>
      <w:r>
        <w:rPr>
          <w:rFonts w:hint="eastAsia" w:ascii="宋体" w:hAnsi="宋体" w:eastAsia="宋体" w:cs="宋体"/>
          <w:bCs/>
          <w:color w:val="auto"/>
          <w:szCs w:val="21"/>
          <w:highlight w:val="none"/>
          <w:u w:val="none"/>
          <w:lang w:val="en-US" w:eastAsia="zh-CN"/>
        </w:rPr>
        <w:t>共计：¥</w:t>
      </w:r>
      <w:r>
        <w:rPr>
          <w:rFonts w:hint="eastAsia" w:ascii="宋体" w:hAnsi="宋体" w:eastAsia="宋体" w:cs="宋体"/>
          <w:bCs/>
          <w:color w:val="auto"/>
          <w:szCs w:val="21"/>
          <w:highlight w:val="none"/>
          <w:u w:val="single"/>
          <w:lang w:val="en-US" w:eastAsia="zh-CN"/>
        </w:rPr>
        <w:t xml:space="preserve">   </w:t>
      </w:r>
      <w:r>
        <w:rPr>
          <w:rFonts w:hint="eastAsia" w:hAnsi="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none"/>
          <w:lang w:val="en-US" w:eastAsia="zh-CN"/>
        </w:rPr>
        <w:t>元（大写人民币：</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万</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仟</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拾</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元</w:t>
      </w:r>
      <w:r>
        <w:rPr>
          <w:rFonts w:hint="eastAsia" w:ascii="宋体" w:hAnsi="宋体" w:eastAsia="宋体" w:cs="宋体"/>
          <w:bCs/>
          <w:color w:val="auto"/>
          <w:szCs w:val="21"/>
          <w:highlight w:val="none"/>
          <w:u w:val="none"/>
          <w:lang w:val="en-US" w:eastAsia="zh-CN"/>
        </w:rPr>
        <w:t>）。</w:t>
      </w:r>
      <w:r>
        <w:rPr>
          <w:rFonts w:hint="eastAsia" w:hAnsi="宋体" w:cs="宋体"/>
          <w:bCs/>
          <w:color w:val="auto"/>
          <w:szCs w:val="21"/>
          <w:highlight w:val="none"/>
          <w:u w:val="none"/>
          <w:lang w:val="en-US" w:eastAsia="zh-CN"/>
        </w:rPr>
        <w:t>其中包括：</w:t>
      </w:r>
      <w:permEnd w:id="21"/>
      <w:r>
        <w:rPr>
          <w:rFonts w:hint="eastAsia" w:hAnsi="宋体" w:cs="宋体"/>
          <w:bCs/>
          <w:color w:val="auto"/>
          <w:szCs w:val="21"/>
          <w:highlight w:val="none"/>
          <w:u w:val="none"/>
          <w:lang w:val="en-US" w:eastAsia="zh-CN"/>
        </w:rPr>
        <w:t>管理年金、审定与注册费；该费用由甲方向本公司直接支付。</w:t>
      </w:r>
    </w:p>
    <w:p w14:paraId="4279F737">
      <w:pPr>
        <w:pStyle w:val="4"/>
        <w:spacing w:line="360" w:lineRule="auto"/>
        <w:ind w:left="0" w:leftChars="0" w:right="42" w:rightChars="20" w:firstLine="420" w:firstLineChars="200"/>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2）初审</w:t>
      </w:r>
      <w:r>
        <w:rPr>
          <w:rFonts w:hint="eastAsia" w:hAnsi="宋体" w:cs="宋体"/>
          <w:bCs/>
          <w:color w:val="auto"/>
          <w:szCs w:val="21"/>
          <w:highlight w:val="none"/>
          <w:u w:val="none"/>
          <w:lang w:val="en-US" w:eastAsia="zh-CN"/>
        </w:rPr>
        <w:t>、再认证</w:t>
      </w:r>
      <w:r>
        <w:rPr>
          <w:rFonts w:hint="eastAsia" w:ascii="宋体" w:hAnsi="宋体" w:eastAsia="宋体" w:cs="宋体"/>
          <w:bCs/>
          <w:color w:val="auto"/>
          <w:szCs w:val="21"/>
          <w:highlight w:val="none"/>
          <w:u w:val="none"/>
          <w:lang w:val="en-US" w:eastAsia="zh-CN"/>
        </w:rPr>
        <w:t xml:space="preserve">费用：该费用应于合同签订一周内支付。由于现场审核未通过而导致产生的额外审核费用由甲方承担，且在乙方下次实施现场审核前一周内一次性支付。 </w:t>
      </w:r>
    </w:p>
    <w:p w14:paraId="0AD42139">
      <w:pPr>
        <w:pStyle w:val="4"/>
        <w:spacing w:line="360" w:lineRule="auto"/>
        <w:ind w:left="0" w:leftChars="0" w:right="42" w:rightChars="20" w:firstLine="420" w:firstLineChars="200"/>
        <w:rPr>
          <w:rFonts w:hint="eastAsia" w:ascii="宋体" w:hAnsi="宋体" w:eastAsia="宋体" w:cs="宋体"/>
          <w:bCs/>
          <w:color w:val="auto"/>
          <w:szCs w:val="21"/>
          <w:highlight w:val="none"/>
          <w:u w:val="none"/>
          <w:lang w:val="en-US" w:eastAsia="zh-CN"/>
        </w:rPr>
      </w:pPr>
      <w:r>
        <w:rPr>
          <w:rFonts w:hint="eastAsia" w:hAnsi="宋体" w:cs="宋体"/>
          <w:bCs/>
          <w:color w:val="auto"/>
          <w:szCs w:val="21"/>
          <w:highlight w:val="none"/>
          <w:u w:val="none"/>
          <w:lang w:val="en-US" w:eastAsia="zh-CN"/>
        </w:rPr>
        <w:t>3）</w:t>
      </w:r>
      <w:r>
        <w:rPr>
          <w:rFonts w:hint="eastAsia" w:ascii="宋体" w:hAnsi="宋体" w:eastAsia="宋体" w:cs="宋体"/>
          <w:bCs/>
          <w:color w:val="auto"/>
          <w:szCs w:val="21"/>
          <w:highlight w:val="none"/>
          <w:u w:val="none"/>
          <w:lang w:val="en-US" w:eastAsia="zh-CN"/>
        </w:rPr>
        <w:t>甲方应在证书到期前四个月提出再认证申请，证书到期前一个月内接受乙方的再认证审核，再认证发现的不符合项必须在证书到期前完成关闭，否则将可能构成证书到期前未实施完整的再认证审核过程而违反认可规范要求，同时甲方将不能按照再认证申请。</w:t>
      </w:r>
    </w:p>
    <w:p w14:paraId="01FCA705">
      <w:pPr>
        <w:pStyle w:val="4"/>
        <w:spacing w:line="360" w:lineRule="auto"/>
        <w:ind w:left="0" w:leftChars="0" w:right="42" w:rightChars="20" w:firstLine="420" w:firstLineChars="200"/>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2、监督费用</w:t>
      </w:r>
    </w:p>
    <w:p w14:paraId="10F8430F">
      <w:pPr>
        <w:pStyle w:val="4"/>
        <w:spacing w:line="360" w:lineRule="auto"/>
        <w:ind w:left="0" w:leftChars="0" w:right="42" w:rightChars="20" w:firstLine="420" w:firstLineChars="200"/>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甲方取得注册资格后，在三年有效期内，将接受乙方两次监督审核及必要的不定期审查。按认可准则，初次认证及再认证后的第一次监督审核要在认证决定日期起12个月内进行，此后监督审核间隔不能超过12个月（每个日历年内）。有异常情况时乙方可以酌情增加监督审核的频次。</w:t>
      </w:r>
    </w:p>
    <w:p w14:paraId="7B0D6DB5">
      <w:pPr>
        <w:pStyle w:val="4"/>
        <w:numPr>
          <w:ilvl w:val="0"/>
          <w:numId w:val="0"/>
        </w:numPr>
        <w:spacing w:line="360" w:lineRule="auto"/>
        <w:ind w:right="42" w:rightChars="20" w:firstLine="420" w:firstLineChars="200"/>
        <w:rPr>
          <w:rFonts w:hint="eastAsia" w:ascii="宋体" w:hAnsi="宋体" w:eastAsia="宋体" w:cs="宋体"/>
          <w:bCs/>
          <w:color w:val="auto"/>
          <w:szCs w:val="21"/>
          <w:highlight w:val="none"/>
          <w:u w:val="none"/>
          <w:lang w:val="en-US" w:eastAsia="zh-CN"/>
        </w:rPr>
      </w:pPr>
      <w:permStart w:id="22" w:edGrp="everyone"/>
      <w:r>
        <w:rPr>
          <w:rFonts w:hint="eastAsia" w:ascii="宋体" w:hAnsi="宋体" w:eastAsia="宋体" w:cs="宋体"/>
          <w:bCs/>
          <w:color w:val="auto"/>
          <w:szCs w:val="21"/>
          <w:highlight w:val="none"/>
          <w:u w:val="none"/>
          <w:lang w:val="en-US" w:eastAsia="zh-CN"/>
        </w:rPr>
        <w:t>1）每年监督审核费用共计：¥</w:t>
      </w:r>
      <w:r>
        <w:rPr>
          <w:rFonts w:hint="eastAsia" w:ascii="宋体" w:hAnsi="宋体" w:eastAsia="宋体" w:cs="宋体"/>
          <w:bCs/>
          <w:color w:val="auto"/>
          <w:szCs w:val="21"/>
          <w:highlight w:val="none"/>
          <w:u w:val="single"/>
          <w:lang w:val="en-US" w:eastAsia="zh-CN"/>
        </w:rPr>
        <w:t xml:space="preserve">   </w:t>
      </w:r>
      <w:r>
        <w:rPr>
          <w:rFonts w:hint="eastAsia" w:hAnsi="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none"/>
          <w:lang w:val="en-US" w:eastAsia="zh-CN"/>
        </w:rPr>
        <w:t>元（大写人民币：</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万</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仟</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拾</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元</w:t>
      </w:r>
      <w:r>
        <w:rPr>
          <w:rFonts w:hint="eastAsia" w:ascii="宋体" w:hAnsi="宋体" w:eastAsia="宋体" w:cs="宋体"/>
          <w:bCs/>
          <w:color w:val="auto"/>
          <w:szCs w:val="21"/>
          <w:highlight w:val="none"/>
          <w:u w:val="none"/>
          <w:lang w:val="en-US" w:eastAsia="zh-CN"/>
        </w:rPr>
        <w:t>）。</w:t>
      </w:r>
    </w:p>
    <w:permEnd w:id="22"/>
    <w:p w14:paraId="4AAA52BC">
      <w:pPr>
        <w:pStyle w:val="4"/>
        <w:spacing w:line="360" w:lineRule="auto"/>
        <w:ind w:left="0" w:leftChars="0" w:right="42" w:rightChars="20" w:firstLine="420" w:firstLineChars="200"/>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2）甲方应在监督审核前直接向乙方支付监督费用，乙方按本合同有关监督总费用金额发出付费通知单，甲方应在收到付费通知单后 5 个工作日内付款。 由于现场审核未通过而导致产生的额外审核费用由甲方承担，且在乙方下次实施现场审核前一周内一次性支付。 </w:t>
      </w:r>
    </w:p>
    <w:p w14:paraId="5A81DA23">
      <w:pPr>
        <w:pStyle w:val="4"/>
        <w:spacing w:line="360" w:lineRule="auto"/>
        <w:ind w:left="0" w:leftChars="0" w:right="42" w:rightChars="20" w:firstLine="420" w:firstLineChars="200"/>
        <w:rPr>
          <w:rFonts w:hint="default" w:ascii="宋体" w:hAnsi="宋体" w:eastAsia="宋体" w:cs="宋体"/>
          <w:bCs/>
          <w:color w:val="auto"/>
          <w:szCs w:val="21"/>
          <w:highlight w:val="none"/>
          <w:u w:val="none"/>
          <w:lang w:val="en-US" w:eastAsia="zh-CN"/>
        </w:rPr>
      </w:pPr>
      <w:r>
        <w:rPr>
          <w:rFonts w:hint="eastAsia" w:hAnsi="宋体" w:cs="宋体"/>
          <w:bCs/>
          <w:color w:val="auto"/>
          <w:szCs w:val="21"/>
          <w:highlight w:val="none"/>
          <w:u w:val="none"/>
          <w:lang w:val="en-US" w:eastAsia="zh-CN"/>
        </w:rPr>
        <w:t>3）</w:t>
      </w:r>
      <w:r>
        <w:rPr>
          <w:rFonts w:hint="eastAsia" w:ascii="宋体" w:hAnsi="宋体" w:eastAsia="宋体" w:cs="宋体"/>
          <w:bCs/>
          <w:color w:val="auto"/>
          <w:szCs w:val="21"/>
          <w:highlight w:val="none"/>
          <w:u w:val="none"/>
          <w:lang w:val="en-US" w:eastAsia="zh-CN"/>
        </w:rPr>
        <w:t>如果甲方获证之后管理体系发生变更（包括但不限于企业名称、地址、规模、管理体系覆盖的范 围或人数的扩大和缩小等），实际费用会适当增减，具体金额按实际状况重新核算。</w:t>
      </w:r>
    </w:p>
    <w:p w14:paraId="682C9752">
      <w:pPr>
        <w:pStyle w:val="4"/>
        <w:spacing w:line="360" w:lineRule="auto"/>
        <w:ind w:left="0" w:leftChars="0" w:right="42" w:rightChars="20" w:firstLine="420" w:firstLineChars="200"/>
        <w:rPr>
          <w:rFonts w:hint="eastAsia" w:ascii="宋体" w:hAnsi="宋体" w:eastAsia="宋体" w:cs="宋体"/>
          <w:bCs/>
          <w:color w:val="auto"/>
          <w:szCs w:val="21"/>
          <w:highlight w:val="none"/>
          <w:u w:val="none"/>
          <w:lang w:val="en-US" w:eastAsia="zh-CN"/>
        </w:rPr>
      </w:pPr>
      <w:r>
        <w:rPr>
          <w:rFonts w:hint="eastAsia" w:hAnsi="宋体" w:cs="宋体"/>
          <w:bCs/>
          <w:color w:val="auto"/>
          <w:szCs w:val="21"/>
          <w:highlight w:val="none"/>
          <w:u w:val="none"/>
          <w:lang w:val="en-US" w:eastAsia="zh-CN"/>
        </w:rPr>
        <w:t>3.</w:t>
      </w:r>
      <w:r>
        <w:rPr>
          <w:rFonts w:hint="eastAsia" w:ascii="宋体" w:hAnsi="宋体" w:eastAsia="宋体" w:cs="宋体"/>
          <w:bCs/>
          <w:color w:val="auto"/>
          <w:szCs w:val="21"/>
          <w:highlight w:val="none"/>
          <w:u w:val="none"/>
          <w:lang w:val="en-US" w:eastAsia="zh-CN"/>
        </w:rPr>
        <w:t>其他费用：</w:t>
      </w:r>
    </w:p>
    <w:p w14:paraId="31015089">
      <w:pPr>
        <w:pStyle w:val="4"/>
        <w:spacing w:line="360" w:lineRule="auto"/>
        <w:ind w:left="0" w:leftChars="0" w:right="42" w:rightChars="20" w:firstLine="420" w:firstLineChars="200"/>
        <w:rPr>
          <w:rFonts w:hint="eastAsia" w:ascii="宋体" w:hAnsi="宋体" w:eastAsia="宋体" w:cs="宋体"/>
          <w:bCs/>
          <w:color w:val="auto"/>
          <w:szCs w:val="21"/>
          <w:highlight w:val="none"/>
          <w:u w:val="none"/>
          <w:lang w:val="en-US" w:eastAsia="zh-CN"/>
        </w:rPr>
      </w:pPr>
      <w:permStart w:id="23" w:edGrp="everyone"/>
      <w:r>
        <w:rPr>
          <w:rFonts w:hint="eastAsia" w:hAnsi="宋体" w:cs="宋体"/>
          <w:bCs/>
          <w:color w:val="auto"/>
          <w:szCs w:val="21"/>
          <w:highlight w:val="none"/>
          <w:u w:val="none"/>
          <w:lang w:val="en-US" w:eastAsia="zh-CN"/>
        </w:rPr>
        <w:t>1）</w:t>
      </w:r>
      <w:r>
        <w:rPr>
          <w:rFonts w:hint="eastAsia" w:ascii="宋体" w:hAnsi="宋体" w:eastAsia="宋体" w:cs="宋体"/>
          <w:bCs/>
          <w:color w:val="auto"/>
          <w:szCs w:val="21"/>
          <w:highlight w:val="none"/>
          <w:u w:val="none"/>
          <w:lang w:val="en-US" w:eastAsia="zh-CN"/>
        </w:rPr>
        <w:t>初次审核及再认证审核的费用均包含相应体系中英文证书各一张（英文翻译由甲方提供）；如需加印证书副本，每张壹佰元，共计：¥</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none"/>
          <w:lang w:val="en-US" w:eastAsia="zh-CN"/>
        </w:rPr>
        <w:t>元。</w:t>
      </w:r>
      <w:r>
        <w:rPr>
          <w:rFonts w:hint="eastAsia" w:hAnsi="宋体" w:cs="宋体"/>
          <w:bCs/>
          <w:color w:val="auto"/>
          <w:szCs w:val="21"/>
          <w:highlight w:val="none"/>
          <w:u w:val="none"/>
          <w:lang w:val="en-US" w:eastAsia="zh-CN"/>
        </w:rPr>
        <w:t>[</w:t>
      </w:r>
      <w:r>
        <w:rPr>
          <w:rFonts w:hint="eastAsia" w:ascii="宋体" w:hAnsi="宋体" w:eastAsia="宋体" w:cs="宋体"/>
          <w:bCs/>
          <w:color w:val="auto"/>
          <w:szCs w:val="21"/>
          <w:highlight w:val="none"/>
          <w:u w:val="none"/>
          <w:lang w:val="en-US" w:eastAsia="zh-CN"/>
        </w:rPr>
        <w:t>其中：中文证书</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none"/>
          <w:lang w:val="en-US" w:eastAsia="zh-CN"/>
        </w:rPr>
        <w:t>张，英文证书</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none"/>
          <w:lang w:val="en-US" w:eastAsia="zh-CN"/>
        </w:rPr>
        <w:t xml:space="preserve"> 张]；</w:t>
      </w:r>
    </w:p>
    <w:permEnd w:id="23"/>
    <w:p w14:paraId="387DA33B">
      <w:pPr>
        <w:pStyle w:val="4"/>
        <w:spacing w:line="360" w:lineRule="auto"/>
        <w:ind w:left="0" w:leftChars="0" w:right="42" w:rightChars="20" w:firstLine="420" w:firstLineChars="200"/>
        <w:rPr>
          <w:rFonts w:hint="eastAsia" w:ascii="宋体" w:hAnsi="宋体" w:eastAsia="宋体" w:cs="宋体"/>
          <w:bCs/>
          <w:color w:val="auto"/>
          <w:szCs w:val="21"/>
          <w:highlight w:val="none"/>
          <w:u w:val="none"/>
          <w:lang w:val="en-US" w:eastAsia="zh-CN"/>
        </w:rPr>
      </w:pPr>
      <w:r>
        <w:rPr>
          <w:rFonts w:hint="eastAsia" w:hAnsi="宋体" w:cs="宋体"/>
          <w:bCs/>
          <w:color w:val="auto"/>
          <w:szCs w:val="21"/>
          <w:highlight w:val="none"/>
          <w:u w:val="none"/>
          <w:lang w:val="en-US" w:eastAsia="zh-CN"/>
        </w:rPr>
        <w:t>2）</w:t>
      </w:r>
      <w:r>
        <w:rPr>
          <w:rFonts w:hint="eastAsia" w:ascii="宋体" w:hAnsi="宋体" w:eastAsia="宋体" w:cs="宋体"/>
          <w:bCs/>
          <w:color w:val="auto"/>
          <w:szCs w:val="21"/>
          <w:highlight w:val="none"/>
          <w:u w:val="none"/>
          <w:lang w:val="en-US" w:eastAsia="zh-CN"/>
        </w:rPr>
        <w:t>乙方派出人员进行现场审核所发生的食、宿、交通等费用按实际支出由甲方承担。</w:t>
      </w:r>
    </w:p>
    <w:p w14:paraId="45D3D0A0">
      <w:pPr>
        <w:pStyle w:val="4"/>
        <w:spacing w:line="360" w:lineRule="auto"/>
        <w:ind w:left="0" w:leftChars="0" w:right="42" w:rightChars="20" w:firstLine="420" w:firstLineChars="200"/>
        <w:rPr>
          <w:rFonts w:hint="default" w:ascii="宋体" w:hAnsi="宋体" w:eastAsia="宋体" w:cs="宋体"/>
          <w:bCs/>
          <w:strike/>
          <w:color w:val="auto"/>
          <w:szCs w:val="21"/>
          <w:highlight w:val="none"/>
          <w:u w:val="none"/>
          <w:shd w:val="clear" w:color="auto" w:fill="auto"/>
          <w:lang w:val="en-US" w:eastAsia="zh-CN"/>
        </w:rPr>
      </w:pPr>
      <w:r>
        <w:rPr>
          <w:rFonts w:hint="eastAsia" w:ascii="宋体" w:hAnsi="宋体" w:eastAsia="宋体" w:cs="宋体"/>
          <w:bCs/>
          <w:color w:val="auto"/>
          <w:szCs w:val="21"/>
          <w:highlight w:val="none"/>
          <w:u w:val="none"/>
          <w:lang w:val="en-US" w:eastAsia="zh-CN"/>
        </w:rPr>
        <w:t>3）因甲方原因导致需额外补充现场审核的，相关费用由甲方承担，具体数额由双方另行商定。</w:t>
      </w:r>
    </w:p>
    <w:p w14:paraId="73466963">
      <w:pPr>
        <w:pStyle w:val="4"/>
        <w:spacing w:line="360" w:lineRule="auto"/>
        <w:ind w:left="0" w:leftChars="0" w:right="42" w:rightChars="20" w:firstLine="422" w:firstLineChars="200"/>
        <w:rPr>
          <w:rFonts w:hint="eastAsia" w:ascii="宋体" w:hAnsi="宋体" w:eastAsia="宋体" w:cs="宋体"/>
          <w:bCs/>
          <w:color w:val="auto"/>
          <w:szCs w:val="21"/>
          <w:highlight w:val="none"/>
          <w:u w:val="none"/>
          <w:lang w:val="en-US" w:eastAsia="zh-CN"/>
        </w:rPr>
      </w:pPr>
      <w:r>
        <w:rPr>
          <w:rFonts w:hint="eastAsia" w:ascii="宋体" w:hAnsi="宋体" w:eastAsia="宋体" w:cs="宋体"/>
          <w:b/>
          <w:bCs w:val="0"/>
          <w:color w:val="auto"/>
          <w:szCs w:val="21"/>
          <w:highlight w:val="none"/>
          <w:u w:val="none"/>
          <w:lang w:val="en-US" w:eastAsia="zh-CN"/>
        </w:rPr>
        <w:t>三、双方权利和义务</w:t>
      </w:r>
      <w:r>
        <w:rPr>
          <w:rFonts w:hint="eastAsia" w:ascii="宋体" w:hAnsi="宋体" w:eastAsia="宋体" w:cs="宋体"/>
          <w:bCs/>
          <w:color w:val="auto"/>
          <w:szCs w:val="21"/>
          <w:highlight w:val="none"/>
          <w:u w:val="none"/>
          <w:lang w:val="en-US" w:eastAsia="zh-CN"/>
        </w:rPr>
        <w:t xml:space="preserve"> </w:t>
      </w:r>
    </w:p>
    <w:p w14:paraId="31D454E1">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本合同未特殊约定的，甲乙双方遵守《中华人民共和国认证认可条例》、《认证机构管理办法》和国际认证认可规则等规定。 </w:t>
      </w:r>
    </w:p>
    <w:p w14:paraId="028D6271">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1. 甲方的权利、义务及承诺 </w:t>
      </w:r>
    </w:p>
    <w:p w14:paraId="7B0496E2">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1.1 甲方的权利</w:t>
      </w:r>
    </w:p>
    <w:p w14:paraId="184BACF8">
      <w:pPr>
        <w:pStyle w:val="4"/>
        <w:keepNext w:val="0"/>
        <w:keepLines w:val="0"/>
        <w:pageBreakBefore w:val="0"/>
        <w:widowControl w:val="0"/>
        <w:kinsoku/>
        <w:wordWrap/>
        <w:overflowPunct/>
        <w:topLinePunct w:val="0"/>
        <w:autoSpaceDE/>
        <w:autoSpaceDN/>
        <w:bidi w:val="0"/>
        <w:adjustRightInd/>
        <w:snapToGrid/>
        <w:spacing w:line="400" w:lineRule="exact"/>
        <w:ind w:left="0" w:leftChars="0" w:right="-126" w:rightChars="-6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1)  有权按照乙方公示的《</w:t>
      </w:r>
      <w:r>
        <w:rPr>
          <w:rFonts w:hint="eastAsia" w:hAnsi="宋体" w:cs="宋体"/>
          <w:bCs/>
          <w:color w:val="auto"/>
          <w:szCs w:val="21"/>
          <w:highlight w:val="none"/>
          <w:u w:val="none"/>
          <w:lang w:val="en-US" w:eastAsia="zh-CN"/>
        </w:rPr>
        <w:t>获证组织须知</w:t>
      </w:r>
      <w:r>
        <w:rPr>
          <w:rFonts w:hint="eastAsia" w:ascii="宋体" w:hAnsi="宋体" w:eastAsia="宋体" w:cs="宋体"/>
          <w:bCs/>
          <w:color w:val="auto"/>
          <w:szCs w:val="21"/>
          <w:highlight w:val="none"/>
          <w:u w:val="none"/>
          <w:lang w:val="en-US" w:eastAsia="zh-CN"/>
        </w:rPr>
        <w:t xml:space="preserve">》正确使用认证证书和认证标志，宣传获得认证资格的事实。 </w:t>
      </w:r>
    </w:p>
    <w:p w14:paraId="282A7452">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2)  享有由于获得认证资格以及使用认证证书及认证标志取得的经济利益。 </w:t>
      </w:r>
    </w:p>
    <w:p w14:paraId="4AE1E70B">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3)  甲方对乙方关于认证的暂停和撤销决定有权提出申诉，有权对不规范的认证行为提出投诉。 </w:t>
      </w:r>
    </w:p>
    <w:p w14:paraId="7CD372D8">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4） 甲方有权提出认证注销申请。 </w:t>
      </w:r>
    </w:p>
    <w:p w14:paraId="1BFFC1D9">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1.2 甲方的义务</w:t>
      </w:r>
    </w:p>
    <w:p w14:paraId="05146D43">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1) 严格遵守国家相关法律法规及认证认可行政规章与管理规定，积极配合认证监管部门的监督检查，就有关事项如实、及时配合询问调查，并提供相关材料与信息。  </w:t>
      </w:r>
    </w:p>
    <w:p w14:paraId="6EB620A4">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2) 甲方应按照乙方认证规则及实施方案要求，及时提交申请文件并提供真实、充分的信息与记录，完成认证准备工作，积极配合现场审核等活动，并在认证有效期内持续保持管理体系有效运行。</w:t>
      </w:r>
    </w:p>
    <w:p w14:paraId="6D4DA16A">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3) 为实施审核做出所有必要的安排，包括在初次认证、监督、再认证和解决投诉时，为检查文件和接触所有过程与区域、记录及人员提供条件。</w:t>
      </w:r>
    </w:p>
    <w:p w14:paraId="1B6831A7">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4) 为现场审核组提供必要的交通、食宿、通讯、审核期间办公场所及其它必要的工作条件；适用时，为接纳到场的观察员（如认可评</w:t>
      </w:r>
      <w:r>
        <w:rPr>
          <w:rFonts w:hint="eastAsia" w:hAnsi="宋体" w:cs="宋体"/>
          <w:bCs/>
          <w:color w:val="auto"/>
          <w:szCs w:val="21"/>
          <w:highlight w:val="none"/>
          <w:u w:val="none"/>
          <w:lang w:val="en-US" w:eastAsia="zh-CN"/>
        </w:rPr>
        <w:t>审</w:t>
      </w:r>
      <w:r>
        <w:rPr>
          <w:rFonts w:hint="eastAsia" w:ascii="宋体" w:hAnsi="宋体" w:eastAsia="宋体" w:cs="宋体"/>
          <w:bCs/>
          <w:color w:val="auto"/>
          <w:szCs w:val="21"/>
          <w:highlight w:val="none"/>
          <w:u w:val="none"/>
          <w:lang w:val="en-US" w:eastAsia="zh-CN"/>
        </w:rPr>
        <w:t xml:space="preserve">员或实习审核员）提供条件。 </w:t>
      </w:r>
    </w:p>
    <w:p w14:paraId="77CE376D">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5）按合同约定时间向乙方支付本合同规定的费用。</w:t>
      </w:r>
    </w:p>
    <w:p w14:paraId="289C4DAB">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6）如甲方未能在审核结束后规定时间内按要求关闭不符合项并通过乙方验证，乙方将实施再次审核或不批准认证/暂停/撤销认证，由此增加的审核费用及后果由甲方承担。</w:t>
      </w:r>
    </w:p>
    <w:p w14:paraId="3A30049E">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7）甲方发生任何变更信息（包括但不限于下列方面）需在一周内向乙方提交变更申请，乙方将根据变更情况按规定作出相应安排（如补充审核换发证书、直接换发证书等）：</w:t>
      </w:r>
    </w:p>
    <w:p w14:paraId="1C2CBE9A">
      <w:pPr>
        <w:pStyle w:val="4"/>
        <w:keepNext w:val="0"/>
        <w:keepLines w:val="0"/>
        <w:pageBreakBefore w:val="0"/>
        <w:widowControl w:val="0"/>
        <w:numPr>
          <w:ilvl w:val="0"/>
          <w:numId w:val="3"/>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法律地位、经营状况、组织状态或所有权；</w:t>
      </w:r>
    </w:p>
    <w:p w14:paraId="3F7DF687">
      <w:pPr>
        <w:pStyle w:val="4"/>
        <w:keepNext w:val="0"/>
        <w:keepLines w:val="0"/>
        <w:pageBreakBefore w:val="0"/>
        <w:widowControl w:val="0"/>
        <w:numPr>
          <w:ilvl w:val="0"/>
          <w:numId w:val="3"/>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组织和管理层（如关键管理、决策或技术人员）；</w:t>
      </w:r>
    </w:p>
    <w:p w14:paraId="1926C249">
      <w:pPr>
        <w:pStyle w:val="4"/>
        <w:keepNext w:val="0"/>
        <w:keepLines w:val="0"/>
        <w:pageBreakBefore w:val="0"/>
        <w:widowControl w:val="0"/>
        <w:numPr>
          <w:ilvl w:val="0"/>
          <w:numId w:val="3"/>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联系地址和场所；</w:t>
      </w:r>
    </w:p>
    <w:p w14:paraId="092F96E9">
      <w:pPr>
        <w:pStyle w:val="4"/>
        <w:keepNext w:val="0"/>
        <w:keepLines w:val="0"/>
        <w:pageBreakBefore w:val="0"/>
        <w:widowControl w:val="0"/>
        <w:numPr>
          <w:ilvl w:val="0"/>
          <w:numId w:val="3"/>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获证管理体系覆盖的运作范围；</w:t>
      </w:r>
    </w:p>
    <w:p w14:paraId="7E5C9C46">
      <w:pPr>
        <w:pStyle w:val="4"/>
        <w:keepNext w:val="0"/>
        <w:keepLines w:val="0"/>
        <w:pageBreakBefore w:val="0"/>
        <w:widowControl w:val="0"/>
        <w:numPr>
          <w:ilvl w:val="0"/>
          <w:numId w:val="3"/>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管理体系和过程的重大变更；</w:t>
      </w:r>
    </w:p>
    <w:p w14:paraId="7370B534">
      <w:pPr>
        <w:pStyle w:val="4"/>
        <w:keepNext w:val="0"/>
        <w:keepLines w:val="0"/>
        <w:pageBreakBefore w:val="0"/>
        <w:widowControl w:val="0"/>
        <w:numPr>
          <w:ilvl w:val="0"/>
          <w:numId w:val="3"/>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注册地、经营地、生产地、人数、认证范围。</w:t>
      </w:r>
    </w:p>
    <w:p w14:paraId="53EB3115">
      <w:pPr>
        <w:pStyle w:val="4"/>
        <w:keepNext w:val="0"/>
        <w:keepLines w:val="0"/>
        <w:pageBreakBefore w:val="0"/>
        <w:widowControl w:val="0"/>
        <w:numPr>
          <w:ilvl w:val="0"/>
          <w:numId w:val="3"/>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客户及相关方重大投诉；</w:t>
      </w:r>
    </w:p>
    <w:p w14:paraId="61C2CE96">
      <w:pPr>
        <w:pStyle w:val="4"/>
        <w:keepNext w:val="0"/>
        <w:keepLines w:val="0"/>
        <w:pageBreakBefore w:val="0"/>
        <w:widowControl w:val="0"/>
        <w:numPr>
          <w:ilvl w:val="0"/>
          <w:numId w:val="3"/>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 生产、销售的产品或提供的服务被国家行政主管部门认定不合格，或环境、安全等监测不合格；</w:t>
      </w:r>
    </w:p>
    <w:p w14:paraId="10193C96">
      <w:pPr>
        <w:pStyle w:val="4"/>
        <w:keepNext w:val="0"/>
        <w:keepLines w:val="0"/>
        <w:pageBreakBefore w:val="0"/>
        <w:widowControl w:val="0"/>
        <w:numPr>
          <w:ilvl w:val="0"/>
          <w:numId w:val="3"/>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被执法监管部门责令停业整顿，或在</w:t>
      </w:r>
      <w:r>
        <w:rPr>
          <w:rFonts w:hint="eastAsia" w:hAnsi="宋体" w:cs="宋体"/>
          <w:bCs/>
          <w:color w:val="auto"/>
          <w:szCs w:val="21"/>
          <w:highlight w:val="none"/>
          <w:u w:val="none"/>
          <w:lang w:val="en-US" w:eastAsia="zh-CN"/>
        </w:rPr>
        <w:t>“国家</w:t>
      </w:r>
      <w:r>
        <w:rPr>
          <w:rFonts w:hint="eastAsia" w:ascii="宋体" w:hAnsi="宋体" w:eastAsia="宋体" w:cs="宋体"/>
          <w:bCs/>
          <w:color w:val="auto"/>
          <w:szCs w:val="21"/>
          <w:highlight w:val="none"/>
          <w:u w:val="none"/>
          <w:lang w:val="en-US" w:eastAsia="zh-CN"/>
        </w:rPr>
        <w:t>企业信用信息公示系统</w:t>
      </w:r>
      <w:r>
        <w:rPr>
          <w:rFonts w:hint="eastAsia" w:hAnsi="宋体" w:cs="宋体"/>
          <w:bCs/>
          <w:color w:val="auto"/>
          <w:szCs w:val="21"/>
          <w:highlight w:val="none"/>
          <w:u w:val="none"/>
          <w:lang w:val="en-US" w:eastAsia="zh-CN"/>
        </w:rPr>
        <w:t>”和“信用中国”</w:t>
      </w:r>
      <w:r>
        <w:rPr>
          <w:rFonts w:hint="eastAsia" w:ascii="宋体" w:hAnsi="宋体" w:eastAsia="宋体" w:cs="宋体"/>
          <w:bCs/>
          <w:color w:val="auto"/>
          <w:szCs w:val="21"/>
          <w:highlight w:val="none"/>
          <w:u w:val="none"/>
          <w:lang w:val="en-US" w:eastAsia="zh-CN"/>
        </w:rPr>
        <w:t>中列入严重违法</w:t>
      </w:r>
      <w:r>
        <w:rPr>
          <w:rFonts w:hint="eastAsia" w:hAnsi="宋体" w:cs="宋体"/>
          <w:bCs/>
          <w:color w:val="auto"/>
          <w:szCs w:val="21"/>
          <w:highlight w:val="none"/>
          <w:u w:val="none"/>
          <w:lang w:val="en-US" w:eastAsia="zh-CN"/>
        </w:rPr>
        <w:t>失信</w:t>
      </w:r>
      <w:r>
        <w:rPr>
          <w:rFonts w:hint="eastAsia" w:ascii="宋体" w:hAnsi="宋体" w:eastAsia="宋体" w:cs="宋体"/>
          <w:bCs/>
          <w:color w:val="auto"/>
          <w:szCs w:val="21"/>
          <w:highlight w:val="none"/>
          <w:u w:val="none"/>
          <w:lang w:val="en-US" w:eastAsia="zh-CN"/>
        </w:rPr>
        <w:t>名单；</w:t>
      </w:r>
    </w:p>
    <w:p w14:paraId="57892055">
      <w:pPr>
        <w:pStyle w:val="4"/>
        <w:keepNext w:val="0"/>
        <w:keepLines w:val="0"/>
        <w:pageBreakBefore w:val="0"/>
        <w:widowControl w:val="0"/>
        <w:numPr>
          <w:ilvl w:val="0"/>
          <w:numId w:val="3"/>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hAnsi="宋体" w:cs="宋体"/>
          <w:bCs/>
          <w:color w:val="auto"/>
          <w:szCs w:val="21"/>
          <w:highlight w:val="none"/>
          <w:u w:val="none"/>
          <w:lang w:val="en-US" w:eastAsia="zh-CN"/>
        </w:rPr>
        <w:t>被应急管理部门列入安全生产严重失信主体名单；</w:t>
      </w:r>
    </w:p>
    <w:p w14:paraId="5D30F990">
      <w:pPr>
        <w:pStyle w:val="4"/>
        <w:keepNext w:val="0"/>
        <w:keepLines w:val="0"/>
        <w:pageBreakBefore w:val="0"/>
        <w:widowControl w:val="0"/>
        <w:numPr>
          <w:ilvl w:val="0"/>
          <w:numId w:val="4"/>
        </w:numPr>
        <w:kinsoku/>
        <w:wordWrap/>
        <w:overflowPunct/>
        <w:topLinePunct w:val="0"/>
        <w:autoSpaceDE/>
        <w:autoSpaceDN/>
        <w:bidi w:val="0"/>
        <w:adjustRightInd/>
        <w:snapToGrid/>
        <w:spacing w:line="400" w:lineRule="exact"/>
        <w:ind w:left="420" w:leftChars="200" w:right="42" w:rightChars="20" w:firstLine="0"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甲方在此作出具有法律约束力的承诺，保证在发生或知悉以下任何导致或可能导致</w:t>
      </w:r>
      <w:r>
        <w:rPr>
          <w:rFonts w:hint="default" w:ascii="宋体" w:hAnsi="宋体" w:eastAsia="宋体" w:cs="宋体"/>
          <w:bCs/>
          <w:color w:val="auto"/>
          <w:szCs w:val="21"/>
          <w:highlight w:val="none"/>
          <w:u w:val="none"/>
          <w:lang w:val="en-US" w:eastAsia="zh-CN"/>
        </w:rPr>
        <w:t>国家监管机构（包括但不限于市场监督管理、生态环境、应急管理、卫生健康等行政主管部门）介入调查、处罚或采取强制措施的事件</w:t>
      </w:r>
      <w:r>
        <w:rPr>
          <w:rFonts w:hint="eastAsia" w:ascii="宋体" w:hAnsi="宋体" w:eastAsia="宋体" w:cs="宋体"/>
          <w:bCs/>
          <w:color w:val="auto"/>
          <w:szCs w:val="21"/>
          <w:highlight w:val="none"/>
          <w:u w:val="none"/>
          <w:lang w:val="en-US" w:eastAsia="zh-CN"/>
        </w:rPr>
        <w:t>或违法情况</w:t>
      </w:r>
      <w:r>
        <w:rPr>
          <w:rFonts w:hint="default" w:ascii="宋体" w:hAnsi="宋体" w:eastAsia="宋体" w:cs="宋体"/>
          <w:bCs/>
          <w:color w:val="auto"/>
          <w:szCs w:val="21"/>
          <w:highlight w:val="none"/>
          <w:u w:val="none"/>
          <w:lang w:val="en-US" w:eastAsia="zh-CN"/>
        </w:rPr>
        <w:t>时，应立即、但最迟不超过二十四（24）小时，以</w:t>
      </w:r>
      <w:r>
        <w:rPr>
          <w:rFonts w:hint="eastAsia" w:ascii="宋体" w:hAnsi="宋体" w:eastAsia="宋体" w:cs="宋体"/>
          <w:bCs/>
          <w:color w:val="auto"/>
          <w:szCs w:val="21"/>
          <w:highlight w:val="none"/>
          <w:u w:val="none"/>
          <w:lang w:val="en-US" w:eastAsia="zh-CN"/>
        </w:rPr>
        <w:t>任何</w:t>
      </w:r>
      <w:r>
        <w:rPr>
          <w:rFonts w:hint="default" w:ascii="宋体" w:hAnsi="宋体" w:eastAsia="宋体" w:cs="宋体"/>
          <w:bCs/>
          <w:color w:val="auto"/>
          <w:szCs w:val="21"/>
          <w:highlight w:val="none"/>
          <w:u w:val="none"/>
          <w:lang w:val="en-US" w:eastAsia="zh-CN"/>
        </w:rPr>
        <w:t>形式（包括但不限于电子邮件、传真）正式通知乙方：</w:t>
      </w:r>
      <w:r>
        <w:rPr>
          <w:rFonts w:hint="default" w:ascii="Segoe UI" w:hAnsi="Segoe UI" w:eastAsia="Segoe UI" w:cs="Segoe UI"/>
          <w:i w:val="0"/>
          <w:iCs w:val="0"/>
          <w:caps w:val="0"/>
          <w:color w:val="auto"/>
          <w:spacing w:val="0"/>
          <w:sz w:val="16"/>
          <w:szCs w:val="16"/>
          <w:shd w:val="clear" w:color="auto" w:fill="FFFFFF"/>
        </w:rPr>
        <w:br w:type="textWrapping"/>
      </w:r>
      <w:r>
        <w:rPr>
          <w:rFonts w:hint="default" w:ascii="宋体" w:hAnsi="宋体" w:eastAsia="宋体" w:cs="宋体"/>
          <w:bCs/>
          <w:color w:val="auto"/>
          <w:szCs w:val="21"/>
          <w:highlight w:val="none"/>
          <w:u w:val="none"/>
          <w:lang w:val="en-US" w:eastAsia="zh-CN"/>
        </w:rPr>
        <w:t>(a) 发生重大质量、</w:t>
      </w:r>
      <w:r>
        <w:rPr>
          <w:rFonts w:hint="eastAsia" w:hAnsi="宋体" w:cs="宋体"/>
          <w:bCs/>
          <w:color w:val="auto"/>
          <w:szCs w:val="21"/>
          <w:highlight w:val="none"/>
          <w:u w:val="none"/>
          <w:lang w:val="en-US" w:eastAsia="zh-CN"/>
        </w:rPr>
        <w:t>环境</w:t>
      </w:r>
      <w:r>
        <w:rPr>
          <w:rFonts w:hint="default" w:ascii="宋体" w:hAnsi="宋体" w:eastAsia="宋体" w:cs="宋体"/>
          <w:bCs/>
          <w:color w:val="auto"/>
          <w:szCs w:val="21"/>
          <w:highlight w:val="none"/>
          <w:u w:val="none"/>
          <w:lang w:val="en-US" w:eastAsia="zh-CN"/>
        </w:rPr>
        <w:t>、职业健康安全、信息安全等事故；</w:t>
      </w:r>
      <w:r>
        <w:rPr>
          <w:rFonts w:hint="default" w:ascii="宋体" w:hAnsi="宋体" w:eastAsia="宋体" w:cs="宋体"/>
          <w:bCs/>
          <w:color w:val="auto"/>
          <w:szCs w:val="21"/>
          <w:highlight w:val="none"/>
          <w:u w:val="none"/>
          <w:lang w:val="en-US" w:eastAsia="zh-CN"/>
        </w:rPr>
        <w:br w:type="textWrapping"/>
      </w:r>
      <w:r>
        <w:rPr>
          <w:rFonts w:hint="default" w:ascii="宋体" w:hAnsi="宋体" w:eastAsia="宋体" w:cs="宋体"/>
          <w:bCs/>
          <w:color w:val="auto"/>
          <w:szCs w:val="21"/>
          <w:highlight w:val="none"/>
          <w:u w:val="none"/>
          <w:lang w:val="en-US" w:eastAsia="zh-CN"/>
        </w:rPr>
        <w:t>(b) 受到相关监管机构的行政处罚、责令整改、立案调查或产品/服务被公告召回、下架；</w:t>
      </w:r>
      <w:r>
        <w:rPr>
          <w:rFonts w:hint="default" w:ascii="宋体" w:hAnsi="宋体" w:eastAsia="宋体" w:cs="宋体"/>
          <w:bCs/>
          <w:color w:val="auto"/>
          <w:szCs w:val="21"/>
          <w:highlight w:val="none"/>
          <w:u w:val="none"/>
          <w:lang w:val="en-US" w:eastAsia="zh-CN"/>
        </w:rPr>
        <w:br w:type="textWrapping"/>
      </w:r>
      <w:r>
        <w:rPr>
          <w:rFonts w:hint="default" w:ascii="宋体" w:hAnsi="宋体" w:eastAsia="宋体" w:cs="宋体"/>
          <w:bCs/>
          <w:color w:val="auto"/>
          <w:szCs w:val="21"/>
          <w:highlight w:val="none"/>
          <w:u w:val="none"/>
          <w:lang w:val="en-US" w:eastAsia="zh-CN"/>
        </w:rPr>
        <w:t>(c) 在国家级、省级监督抽查、飞行检查、环境监测、安全监测中被判定为不合格或发现严重不符合；</w:t>
      </w:r>
      <w:r>
        <w:rPr>
          <w:rFonts w:hint="default" w:ascii="宋体" w:hAnsi="宋体" w:eastAsia="宋体" w:cs="宋体"/>
          <w:bCs/>
          <w:color w:val="auto"/>
          <w:szCs w:val="21"/>
          <w:highlight w:val="none"/>
          <w:u w:val="none"/>
          <w:lang w:val="en-US" w:eastAsia="zh-CN"/>
        </w:rPr>
        <w:br w:type="textWrapping"/>
      </w:r>
      <w:r>
        <w:rPr>
          <w:rFonts w:hint="default" w:ascii="宋体" w:hAnsi="宋体" w:eastAsia="宋体" w:cs="宋体"/>
          <w:bCs/>
          <w:color w:val="auto"/>
          <w:szCs w:val="21"/>
          <w:highlight w:val="none"/>
          <w:u w:val="none"/>
          <w:lang w:val="en-US" w:eastAsia="zh-CN"/>
        </w:rPr>
        <w:t>(d) 发生与认证范围相关的、可能引发重大舆论或公共影响的投诉、媒体曝光或法律诉讼；</w:t>
      </w:r>
      <w:r>
        <w:rPr>
          <w:rFonts w:hint="default" w:ascii="宋体" w:hAnsi="宋体" w:eastAsia="宋体" w:cs="宋体"/>
          <w:bCs/>
          <w:color w:val="auto"/>
          <w:szCs w:val="21"/>
          <w:highlight w:val="none"/>
          <w:u w:val="none"/>
          <w:lang w:val="en-US" w:eastAsia="zh-CN"/>
        </w:rPr>
        <w:br w:type="textWrapping"/>
      </w:r>
      <w:r>
        <w:rPr>
          <w:rFonts w:hint="default" w:ascii="宋体" w:hAnsi="宋体" w:eastAsia="宋体" w:cs="宋体"/>
          <w:bCs/>
          <w:color w:val="auto"/>
          <w:szCs w:val="21"/>
          <w:highlight w:val="none"/>
          <w:u w:val="none"/>
          <w:lang w:val="en-US" w:eastAsia="zh-CN"/>
        </w:rPr>
        <w:t>(e) 发生其他严重违反国家法律法规，且与获证管理体系运行直接相关的情况</w:t>
      </w:r>
    </w:p>
    <w:p w14:paraId="58FB51A4">
      <w:pPr>
        <w:pStyle w:val="4"/>
        <w:keepNext w:val="0"/>
        <w:keepLines w:val="0"/>
        <w:pageBreakBefore w:val="0"/>
        <w:widowControl w:val="0"/>
        <w:numPr>
          <w:ilvl w:val="0"/>
          <w:numId w:val="4"/>
        </w:numPr>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甲方如持有乙方颁发的带有认可标志的认证证书，须接受认可机构的见证评审和确认审核，拒绝将导致认证资格暂停或撤销。</w:t>
      </w:r>
    </w:p>
    <w:p w14:paraId="599A682B">
      <w:pPr>
        <w:pStyle w:val="4"/>
        <w:keepNext w:val="0"/>
        <w:keepLines w:val="0"/>
        <w:pageBreakBefore w:val="0"/>
        <w:widowControl w:val="0"/>
        <w:numPr>
          <w:ilvl w:val="0"/>
          <w:numId w:val="4"/>
        </w:numPr>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hAnsi="宋体" w:cs="宋体"/>
          <w:bCs/>
          <w:color w:val="auto"/>
          <w:szCs w:val="21"/>
          <w:highlight w:val="none"/>
          <w:u w:val="none"/>
          <w:lang w:val="en-US" w:eastAsia="zh-CN"/>
        </w:rPr>
        <w:t>多场所管理</w:t>
      </w:r>
    </w:p>
    <w:p w14:paraId="2B6E222E">
      <w:pPr>
        <w:pStyle w:val="4"/>
        <w:keepNext w:val="0"/>
        <w:keepLines w:val="0"/>
        <w:pageBreakBefore w:val="0"/>
        <w:widowControl w:val="0"/>
        <w:numPr>
          <w:ilvl w:val="0"/>
          <w:numId w:val="0"/>
        </w:numPr>
        <w:kinsoku/>
        <w:wordWrap/>
        <w:overflowPunct/>
        <w:topLinePunct w:val="0"/>
        <w:autoSpaceDE/>
        <w:autoSpaceDN/>
        <w:bidi w:val="0"/>
        <w:adjustRightInd/>
        <w:snapToGrid/>
        <w:spacing w:line="400" w:lineRule="exact"/>
        <w:ind w:left="218" w:leftChars="104" w:right="42" w:rightChars="20" w:firstLine="199" w:firstLineChars="95"/>
        <w:textAlignment w:val="auto"/>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i w:val="0"/>
          <w:iCs w:val="0"/>
          <w:caps w:val="0"/>
          <w:color w:val="auto"/>
          <w:spacing w:val="0"/>
          <w:sz w:val="21"/>
          <w:szCs w:val="21"/>
          <w:shd w:val="clear" w:color="auto" w:fill="FFFFFF"/>
          <w:lang w:eastAsia="zh-CN"/>
        </w:rPr>
        <w:t>若甲方申请的认证范围涵盖多个法律实体或运营场所（以下简称“多场所”），则：</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lang w:eastAsia="zh-CN"/>
        </w:rPr>
        <w:t xml:space="preserve">  a) 需与各法律实体分别签订符合要求的认证服务协议</w:t>
      </w:r>
      <w:r>
        <w:rPr>
          <w:rFonts w:hint="eastAsia" w:hAnsi="宋体" w:cs="宋体"/>
          <w:i w:val="0"/>
          <w:iCs w:val="0"/>
          <w:caps w:val="0"/>
          <w:color w:val="auto"/>
          <w:spacing w:val="0"/>
          <w:sz w:val="21"/>
          <w:szCs w:val="21"/>
          <w:shd w:val="clear" w:color="auto" w:fill="FFFFFF"/>
          <w:lang w:val="en-US" w:eastAsia="zh-CN"/>
        </w:rPr>
        <w:t>(</w:t>
      </w:r>
      <w:r>
        <w:rPr>
          <w:rFonts w:hint="eastAsia" w:ascii="宋体" w:hAnsi="宋体" w:eastAsia="宋体" w:cs="宋体"/>
          <w:i w:val="0"/>
          <w:iCs w:val="0"/>
          <w:caps w:val="0"/>
          <w:color w:val="auto"/>
          <w:spacing w:val="0"/>
          <w:sz w:val="21"/>
          <w:szCs w:val="21"/>
          <w:shd w:val="clear" w:color="auto" w:fill="FFFFFF"/>
          <w:lang w:val="en-US" w:eastAsia="zh-CN"/>
        </w:rPr>
        <w:t>或提供具有法律效力的说明作为合同附件</w:t>
      </w:r>
      <w:r>
        <w:rPr>
          <w:rFonts w:hint="eastAsia" w:hAnsi="宋体" w:cs="宋体"/>
          <w:i w:val="0"/>
          <w:iCs w:val="0"/>
          <w:caps w:val="0"/>
          <w:color w:val="auto"/>
          <w:spacing w:val="0"/>
          <w:sz w:val="21"/>
          <w:szCs w:val="21"/>
          <w:shd w:val="clear" w:color="auto" w:fill="FFFFFF"/>
          <w:lang w:val="en-US" w:eastAsia="zh-CN"/>
        </w:rPr>
        <w:t>)</w:t>
      </w:r>
      <w:r>
        <w:rPr>
          <w:rFonts w:hint="eastAsia" w:ascii="宋体" w:hAnsi="宋体" w:eastAsia="宋体" w:cs="宋体"/>
          <w:i w:val="0"/>
          <w:iCs w:val="0"/>
          <w:caps w:val="0"/>
          <w:color w:val="auto"/>
          <w:spacing w:val="0"/>
          <w:sz w:val="21"/>
          <w:szCs w:val="21"/>
          <w:shd w:val="clear" w:color="auto" w:fill="FFFFFF"/>
          <w:lang w:val="en-US" w:eastAsia="zh-CN"/>
        </w:rPr>
        <w:t>，</w:t>
      </w:r>
      <w:r>
        <w:rPr>
          <w:rFonts w:hint="eastAsia" w:hAnsi="宋体" w:cs="宋体"/>
          <w:i w:val="0"/>
          <w:iCs w:val="0"/>
          <w:caps w:val="0"/>
          <w:color w:val="auto"/>
          <w:spacing w:val="0"/>
          <w:sz w:val="21"/>
          <w:szCs w:val="21"/>
          <w:shd w:val="clear" w:color="auto" w:fill="FFFFFF"/>
          <w:lang w:val="en-US" w:eastAsia="zh-CN"/>
        </w:rPr>
        <w:t>多场所时需要提供</w:t>
      </w:r>
      <w:r>
        <w:rPr>
          <w:rFonts w:hint="eastAsia" w:ascii="宋体" w:hAnsi="宋体" w:eastAsia="宋体" w:cs="宋体"/>
          <w:i w:val="0"/>
          <w:iCs w:val="0"/>
          <w:caps w:val="0"/>
          <w:color w:val="auto"/>
          <w:spacing w:val="0"/>
          <w:sz w:val="21"/>
          <w:szCs w:val="21"/>
          <w:shd w:val="clear" w:color="auto" w:fill="FFFFFF"/>
          <w:lang w:val="en-US" w:eastAsia="zh-CN"/>
        </w:rPr>
        <w:t>《</w:t>
      </w:r>
      <w:r>
        <w:rPr>
          <w:rFonts w:hint="eastAsia" w:hAnsi="宋体" w:cs="宋体"/>
          <w:i w:val="0"/>
          <w:iCs w:val="0"/>
          <w:caps w:val="0"/>
          <w:color w:val="auto"/>
          <w:spacing w:val="0"/>
          <w:sz w:val="21"/>
          <w:szCs w:val="21"/>
          <w:shd w:val="clear" w:color="auto" w:fill="FFFFFF"/>
          <w:lang w:val="en-US" w:eastAsia="zh-CN"/>
        </w:rPr>
        <w:t>多场所清单</w:t>
      </w:r>
      <w:r>
        <w:rPr>
          <w:rFonts w:hint="eastAsia" w:ascii="宋体" w:hAnsi="宋体" w:eastAsia="宋体" w:cs="宋体"/>
          <w:i w:val="0"/>
          <w:iCs w:val="0"/>
          <w:caps w:val="0"/>
          <w:color w:val="auto"/>
          <w:spacing w:val="0"/>
          <w:sz w:val="21"/>
          <w:szCs w:val="21"/>
          <w:shd w:val="clear" w:color="auto" w:fill="FFFFFF"/>
          <w:lang w:val="en-US" w:eastAsia="zh-CN"/>
        </w:rPr>
        <w:t>》</w:t>
      </w:r>
      <w:r>
        <w:rPr>
          <w:rFonts w:hint="eastAsia" w:hAnsi="宋体" w:cs="宋体"/>
          <w:i w:val="0"/>
          <w:iCs w:val="0"/>
          <w:caps w:val="0"/>
          <w:color w:val="auto"/>
          <w:spacing w:val="0"/>
          <w:sz w:val="21"/>
          <w:szCs w:val="21"/>
          <w:shd w:val="clear" w:color="auto" w:fill="FFFFFF"/>
          <w:lang w:val="en-US" w:eastAsia="zh-CN"/>
        </w:rPr>
        <w:t>,</w:t>
      </w:r>
      <w:r>
        <w:rPr>
          <w:rFonts w:hint="eastAsia" w:ascii="宋体" w:hAnsi="宋体" w:eastAsia="宋体" w:cs="宋体"/>
          <w:i w:val="0"/>
          <w:iCs w:val="0"/>
          <w:caps w:val="0"/>
          <w:color w:val="auto"/>
          <w:spacing w:val="0"/>
          <w:sz w:val="21"/>
          <w:szCs w:val="21"/>
          <w:shd w:val="clear" w:color="auto" w:fill="FFFFFF"/>
          <w:lang w:val="en-US" w:eastAsia="zh-CN"/>
        </w:rPr>
        <w:t xml:space="preserve">明确列明各场所名称、地址、法律/运营关系、在管理体系中的职能及风险情况。  </w:t>
      </w:r>
    </w:p>
    <w:p w14:paraId="071CBFA8">
      <w:pPr>
        <w:pStyle w:val="4"/>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200" w:right="42" w:rightChars="20"/>
        <w:textAlignment w:val="auto"/>
        <w:rPr>
          <w:rFonts w:hint="eastAsia" w:ascii="宋体" w:hAnsi="宋体" w:eastAsia="宋体" w:cs="宋体"/>
          <w:color w:val="auto"/>
          <w:sz w:val="21"/>
          <w:szCs w:val="21"/>
          <w:lang w:eastAsia="zh-CN"/>
        </w:rPr>
      </w:pPr>
      <w:r>
        <w:rPr>
          <w:rFonts w:hint="eastAsia" w:ascii="宋体" w:hAnsi="宋体" w:eastAsia="宋体" w:cs="宋体"/>
          <w:i w:val="0"/>
          <w:iCs w:val="0"/>
          <w:color w:val="auto"/>
          <w:spacing w:val="0"/>
          <w:sz w:val="21"/>
          <w:szCs w:val="21"/>
          <w:shd w:val="clear" w:color="auto" w:fill="FFFFFF"/>
          <w:lang w:val="en-US" w:eastAsia="zh-CN"/>
        </w:rPr>
        <w:t>B</w:t>
      </w:r>
      <w:r>
        <w:rPr>
          <w:rFonts w:hint="eastAsia" w:ascii="宋体" w:hAnsi="宋体" w:eastAsia="宋体" w:cs="宋体"/>
          <w:i w:val="0"/>
          <w:iCs w:val="0"/>
          <w:caps w:val="0"/>
          <w:color w:val="auto"/>
          <w:spacing w:val="0"/>
          <w:sz w:val="21"/>
          <w:szCs w:val="21"/>
          <w:shd w:val="clear" w:color="auto" w:fill="FFFFFF"/>
          <w:lang w:val="en-US" w:eastAsia="zh-CN"/>
        </w:rPr>
        <w:t>) 甲方作为认证签约主体，在此保证其有权代表认证范围内所有场所受本合同约束，并承诺确保全部相关场所遵守合同所有约定，包括但不限于接受审核、支付费用、履行义务并承担违约责任。乙方</w:t>
      </w:r>
      <w:r>
        <w:rPr>
          <w:rFonts w:hint="eastAsia" w:hAnsi="宋体" w:cs="宋体"/>
          <w:i w:val="0"/>
          <w:iCs w:val="0"/>
          <w:caps w:val="0"/>
          <w:color w:val="auto"/>
          <w:spacing w:val="0"/>
          <w:sz w:val="21"/>
          <w:szCs w:val="21"/>
          <w:shd w:val="clear" w:color="auto" w:fill="FFFFFF"/>
          <w:lang w:val="en-US" w:eastAsia="zh-CN"/>
        </w:rPr>
        <w:t>依据</w:t>
      </w:r>
      <w:r>
        <w:rPr>
          <w:rFonts w:hint="eastAsia" w:ascii="宋体" w:hAnsi="宋体" w:eastAsia="宋体" w:cs="宋体"/>
          <w:i w:val="0"/>
          <w:iCs w:val="0"/>
          <w:caps w:val="0"/>
          <w:color w:val="auto"/>
          <w:spacing w:val="0"/>
          <w:sz w:val="21"/>
          <w:szCs w:val="21"/>
          <w:shd w:val="clear" w:color="auto" w:fill="FFFFFF"/>
          <w:lang w:val="en-US" w:eastAsia="zh-CN"/>
        </w:rPr>
        <w:t xml:space="preserve">本合同向甲方（签约主体）颁发的认证证书及所作认证决定，其效力自动覆盖认证范围内全部场所。  </w:t>
      </w:r>
    </w:p>
    <w:p w14:paraId="0E5D3C96">
      <w:pPr>
        <w:pStyle w:val="4"/>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200" w:right="42" w:rightChars="20"/>
        <w:textAlignment w:val="auto"/>
        <w:rPr>
          <w:rFonts w:hint="eastAsia" w:ascii="宋体" w:hAnsi="宋体" w:eastAsia="宋体" w:cs="宋体"/>
          <w:color w:val="auto"/>
          <w:sz w:val="21"/>
          <w:szCs w:val="21"/>
          <w:lang w:eastAsia="zh-CN"/>
        </w:rPr>
      </w:pPr>
      <w:r>
        <w:rPr>
          <w:rFonts w:hint="eastAsia" w:hAnsi="宋体" w:cs="宋体"/>
          <w:i w:val="0"/>
          <w:iCs w:val="0"/>
          <w:color w:val="auto"/>
          <w:spacing w:val="0"/>
          <w:sz w:val="21"/>
          <w:szCs w:val="21"/>
          <w:shd w:val="clear" w:color="auto" w:fill="FFFFFF"/>
          <w:lang w:val="en-US" w:eastAsia="zh-CN"/>
        </w:rPr>
        <w:t>c</w:t>
      </w:r>
      <w:r>
        <w:rPr>
          <w:rFonts w:hint="eastAsia" w:ascii="宋体" w:hAnsi="宋体" w:eastAsia="宋体" w:cs="宋体"/>
          <w:i w:val="0"/>
          <w:iCs w:val="0"/>
          <w:caps w:val="0"/>
          <w:color w:val="auto"/>
          <w:spacing w:val="0"/>
          <w:sz w:val="21"/>
          <w:szCs w:val="21"/>
          <w:shd w:val="clear" w:color="auto" w:fill="FFFFFF"/>
          <w:lang w:val="en-US" w:eastAsia="zh-CN"/>
        </w:rPr>
        <w:t xml:space="preserve">) 甲方须确保认证范围内各场所管理体系运行一致，并负责协调、安排所有必要审核活动。  </w:t>
      </w:r>
    </w:p>
    <w:p w14:paraId="061C1D45">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 w:val="21"/>
          <w:szCs w:val="21"/>
          <w:highlight w:val="none"/>
          <w:u w:val="none"/>
          <w:lang w:val="en-US" w:eastAsia="zh-CN"/>
        </w:rPr>
        <w:t>11）甲方获得认证后，须正确使用认证证书、认证标志及相关信息，包括（但不限</w:t>
      </w:r>
      <w:r>
        <w:rPr>
          <w:rFonts w:hint="eastAsia" w:ascii="宋体" w:hAnsi="宋体" w:eastAsia="宋体" w:cs="宋体"/>
          <w:bCs/>
          <w:color w:val="auto"/>
          <w:szCs w:val="21"/>
          <w:highlight w:val="none"/>
          <w:u w:val="none"/>
          <w:lang w:val="en-US" w:eastAsia="zh-CN"/>
        </w:rPr>
        <w:t>于）：</w:t>
      </w:r>
    </w:p>
    <w:p w14:paraId="34898469">
      <w:pPr>
        <w:pStyle w:val="4"/>
        <w:keepNext w:val="0"/>
        <w:keepLines w:val="0"/>
        <w:pageBreakBefore w:val="0"/>
        <w:widowControl w:val="0"/>
        <w:numPr>
          <w:ilvl w:val="0"/>
          <w:numId w:val="5"/>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在传播媒介（如互联网、宣传册或广告）或其他文件中引用认证状态时，应符合乙方要求；</w:t>
      </w:r>
    </w:p>
    <w:p w14:paraId="57A4F9FF">
      <w:pPr>
        <w:pStyle w:val="4"/>
        <w:keepNext w:val="0"/>
        <w:keepLines w:val="0"/>
        <w:pageBreakBefore w:val="0"/>
        <w:widowControl w:val="0"/>
        <w:numPr>
          <w:ilvl w:val="0"/>
          <w:numId w:val="5"/>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不做出或不允许任何关于其认证资格的误导性说明；</w:t>
      </w:r>
    </w:p>
    <w:p w14:paraId="53321C53">
      <w:pPr>
        <w:pStyle w:val="4"/>
        <w:keepNext w:val="0"/>
        <w:keepLines w:val="0"/>
        <w:pageBreakBefore w:val="0"/>
        <w:widowControl w:val="0"/>
        <w:numPr>
          <w:ilvl w:val="0"/>
          <w:numId w:val="5"/>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 不以或不允许以误导方式使用认证文件或其任何部分；</w:t>
      </w:r>
    </w:p>
    <w:p w14:paraId="0DDD9A6C">
      <w:pPr>
        <w:pStyle w:val="4"/>
        <w:keepNext w:val="0"/>
        <w:keepLines w:val="0"/>
        <w:pageBreakBefore w:val="0"/>
        <w:widowControl w:val="0"/>
        <w:numPr>
          <w:ilvl w:val="0"/>
          <w:numId w:val="5"/>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 认证被撤销时，立即按乙方指令停止使用所有引用认证资格的广告材料；</w:t>
      </w:r>
    </w:p>
    <w:p w14:paraId="47372E4D">
      <w:pPr>
        <w:pStyle w:val="4"/>
        <w:keepNext w:val="0"/>
        <w:keepLines w:val="0"/>
        <w:pageBreakBefore w:val="0"/>
        <w:widowControl w:val="0"/>
        <w:numPr>
          <w:ilvl w:val="0"/>
          <w:numId w:val="5"/>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 认证范围缩小时，修改所有广告材料；</w:t>
      </w:r>
    </w:p>
    <w:p w14:paraId="15A6F03A">
      <w:pPr>
        <w:pStyle w:val="4"/>
        <w:keepNext w:val="0"/>
        <w:keepLines w:val="0"/>
        <w:pageBreakBefore w:val="0"/>
        <w:widowControl w:val="0"/>
        <w:numPr>
          <w:ilvl w:val="0"/>
          <w:numId w:val="5"/>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 不</w:t>
      </w:r>
      <w:r>
        <w:rPr>
          <w:rFonts w:hint="eastAsia" w:ascii="宋体" w:hAnsi="宋体" w:eastAsia="宋体" w:cs="宋体"/>
          <w:bCs/>
          <w:color w:val="auto"/>
          <w:kern w:val="2"/>
          <w:sz w:val="21"/>
          <w:szCs w:val="21"/>
          <w:highlight w:val="none"/>
          <w:u w:val="none"/>
          <w:lang w:val="en-US" w:eastAsia="zh-CN" w:bidi="ar-SA"/>
        </w:rPr>
        <w:t>得</w:t>
      </w:r>
      <w:r>
        <w:rPr>
          <w:rFonts w:hint="eastAsia" w:ascii="宋体" w:hAnsi="宋体" w:eastAsia="宋体" w:cs="宋体"/>
          <w:bCs/>
          <w:color w:val="auto"/>
          <w:szCs w:val="21"/>
          <w:highlight w:val="none"/>
          <w:u w:val="none"/>
          <w:lang w:val="en-US" w:eastAsia="zh-CN"/>
        </w:rPr>
        <w:t>擅自利用认证证书和相关文字、符号误导公众认为其产品或服务通过认证；</w:t>
      </w:r>
    </w:p>
    <w:p w14:paraId="176F20AA">
      <w:pPr>
        <w:pStyle w:val="4"/>
        <w:keepNext w:val="0"/>
        <w:keepLines w:val="0"/>
        <w:pageBreakBefore w:val="0"/>
        <w:widowControl w:val="0"/>
        <w:numPr>
          <w:ilvl w:val="0"/>
          <w:numId w:val="5"/>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 不得暗示认证适用于认证范围以外的活动或场所；</w:t>
      </w:r>
    </w:p>
    <w:p w14:paraId="395A41A4">
      <w:pPr>
        <w:pStyle w:val="4"/>
        <w:keepNext w:val="0"/>
        <w:keepLines w:val="0"/>
        <w:pageBreakBefore w:val="0"/>
        <w:widowControl w:val="0"/>
        <w:numPr>
          <w:ilvl w:val="0"/>
          <w:numId w:val="5"/>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 使用认证资格时，不得损害乙方及（或）认证制度声誉或导致公众信任丧失；</w:t>
      </w:r>
    </w:p>
    <w:p w14:paraId="058CA690">
      <w:pPr>
        <w:keepNext w:val="0"/>
        <w:keepLines w:val="0"/>
        <w:pageBreakBefore w:val="0"/>
        <w:widowControl w:val="0"/>
        <w:numPr>
          <w:ilvl w:val="0"/>
          <w:numId w:val="4"/>
        </w:numPr>
        <w:wordWrap/>
        <w:topLinePunct w:val="0"/>
        <w:autoSpaceDE/>
        <w:autoSpaceDN/>
        <w:bidi w:val="0"/>
        <w:adjustRightInd/>
        <w:snapToGrid/>
        <w:spacing w:line="460" w:lineRule="exact"/>
        <w:ind w:left="0" w:leftChars="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认证资格被撤销后，甲方应立即停止使用认证证书并向乙方退还，并立即停止所有涉及认证内容的广告和宣传。</w:t>
      </w:r>
    </w:p>
    <w:p w14:paraId="60B824CF">
      <w:pPr>
        <w:keepNext w:val="0"/>
        <w:keepLines w:val="0"/>
        <w:pageBreakBefore w:val="0"/>
        <w:widowControl w:val="0"/>
        <w:wordWrap/>
        <w:topLinePunct w:val="0"/>
        <w:autoSpaceDE/>
        <w:autoSpaceDN/>
        <w:bidi w:val="0"/>
        <w:adjustRightInd/>
        <w:snapToGrid/>
        <w:spacing w:line="460" w:lineRule="exact"/>
        <w:ind w:left="0" w:leftChars="0" w:firstLine="367" w:firstLineChars="175"/>
        <w:textAlignment w:val="auto"/>
        <w:rPr>
          <w:rFonts w:hint="eastAsia" w:ascii="宋体" w:hAnsi="宋体" w:eastAsia="宋体" w:cs="宋体"/>
          <w:bCs/>
          <w:color w:val="auto"/>
          <w:kern w:val="2"/>
          <w:sz w:val="21"/>
          <w:szCs w:val="21"/>
          <w:highlight w:val="none"/>
          <w:u w:val="none"/>
          <w:lang w:val="en-US" w:eastAsia="zh-CN" w:bidi="ar-SA"/>
        </w:rPr>
      </w:pPr>
      <w:r>
        <w:rPr>
          <w:rFonts w:hint="eastAsia" w:ascii="宋体" w:hAnsi="宋体" w:eastAsia="宋体" w:cs="宋体"/>
          <w:bCs/>
          <w:color w:val="auto"/>
          <w:kern w:val="2"/>
          <w:sz w:val="21"/>
          <w:szCs w:val="21"/>
          <w:highlight w:val="none"/>
          <w:u w:val="none"/>
          <w:lang w:val="en-US" w:eastAsia="zh-CN" w:bidi="ar-SA"/>
        </w:rPr>
        <w:t>12）在审核过程中如发现足以导致不推荐注册的严重不符合时，乙方应向甲方通报不推荐注册的理由，由双方协商确定后续的处理措施（如重新修改审核计划，改变审核目的、审核范围或终止审核等），相关费用由甲方承担；</w:t>
      </w:r>
    </w:p>
    <w:p w14:paraId="07334D02">
      <w:pPr>
        <w:keepNext w:val="0"/>
        <w:keepLines w:val="0"/>
        <w:pageBreakBefore w:val="0"/>
        <w:widowControl w:val="0"/>
        <w:wordWrap/>
        <w:topLinePunct w:val="0"/>
        <w:autoSpaceDE/>
        <w:autoSpaceDN/>
        <w:bidi w:val="0"/>
        <w:adjustRightInd/>
        <w:snapToGrid/>
        <w:spacing w:line="460" w:lineRule="exact"/>
        <w:ind w:left="0" w:leftChars="0" w:firstLine="367" w:firstLineChars="175"/>
        <w:textAlignment w:val="auto"/>
        <w:rPr>
          <w:rFonts w:hint="eastAsia" w:ascii="宋体" w:hAnsi="宋体" w:eastAsia="宋体" w:cs="宋体"/>
          <w:bCs/>
          <w:color w:val="auto"/>
          <w:kern w:val="2"/>
          <w:sz w:val="21"/>
          <w:szCs w:val="21"/>
          <w:highlight w:val="none"/>
          <w:u w:val="none"/>
          <w:lang w:val="en-US" w:eastAsia="zh-CN" w:bidi="ar-SA"/>
        </w:rPr>
      </w:pPr>
      <w:r>
        <w:rPr>
          <w:rFonts w:hint="eastAsia" w:ascii="宋体" w:hAnsi="宋体" w:eastAsia="宋体" w:cs="宋体"/>
          <w:bCs/>
          <w:color w:val="auto"/>
          <w:kern w:val="2"/>
          <w:sz w:val="21"/>
          <w:szCs w:val="21"/>
          <w:highlight w:val="none"/>
          <w:u w:val="none"/>
          <w:lang w:val="en-US" w:eastAsia="zh-CN" w:bidi="ar-SA"/>
        </w:rPr>
        <w:t>13）如乙方发现甲方存在下述问题，乙方应立即终止审核。甲方仍应支付全部费用：</w:t>
      </w:r>
    </w:p>
    <w:p w14:paraId="366949ED">
      <w:pPr>
        <w:keepNext w:val="0"/>
        <w:keepLines w:val="0"/>
        <w:pageBreakBefore w:val="0"/>
        <w:widowControl w:val="0"/>
        <w:numPr>
          <w:ilvl w:val="0"/>
          <w:numId w:val="6"/>
        </w:numPr>
        <w:wordWrap/>
        <w:topLinePunct w:val="0"/>
        <w:autoSpaceDE/>
        <w:autoSpaceDN/>
        <w:bidi w:val="0"/>
        <w:adjustRightInd/>
        <w:snapToGrid/>
        <w:spacing w:line="460" w:lineRule="exact"/>
        <w:ind w:left="425" w:leftChars="0" w:hanging="5" w:firstLineChars="0"/>
        <w:textAlignment w:val="auto"/>
        <w:rPr>
          <w:rFonts w:hint="eastAsia" w:ascii="宋体" w:hAnsi="宋体" w:eastAsia="宋体" w:cs="宋体"/>
          <w:bCs/>
          <w:color w:val="auto"/>
          <w:kern w:val="2"/>
          <w:sz w:val="21"/>
          <w:szCs w:val="21"/>
          <w:highlight w:val="none"/>
          <w:u w:val="none"/>
          <w:lang w:val="en-US" w:eastAsia="zh-CN" w:bidi="ar-SA"/>
        </w:rPr>
      </w:pPr>
      <w:r>
        <w:rPr>
          <w:rFonts w:hint="eastAsia" w:ascii="宋体" w:hAnsi="宋体" w:eastAsia="宋体" w:cs="宋体"/>
          <w:bCs/>
          <w:color w:val="auto"/>
          <w:kern w:val="2"/>
          <w:sz w:val="21"/>
          <w:szCs w:val="21"/>
          <w:highlight w:val="none"/>
          <w:u w:val="none"/>
          <w:lang w:val="en-US" w:eastAsia="zh-CN" w:bidi="ar-SA"/>
        </w:rPr>
        <w:t>甲方对审核活动不予配合，审核活动无法进行；</w:t>
      </w:r>
    </w:p>
    <w:p w14:paraId="3802348A">
      <w:pPr>
        <w:keepNext w:val="0"/>
        <w:keepLines w:val="0"/>
        <w:pageBreakBefore w:val="0"/>
        <w:widowControl w:val="0"/>
        <w:numPr>
          <w:ilvl w:val="0"/>
          <w:numId w:val="6"/>
        </w:numPr>
        <w:wordWrap/>
        <w:topLinePunct w:val="0"/>
        <w:autoSpaceDE/>
        <w:autoSpaceDN/>
        <w:bidi w:val="0"/>
        <w:adjustRightInd/>
        <w:snapToGrid/>
        <w:spacing w:line="460" w:lineRule="exact"/>
        <w:ind w:left="425" w:leftChars="0" w:hanging="5" w:firstLineChars="0"/>
        <w:textAlignment w:val="auto"/>
        <w:rPr>
          <w:rFonts w:hint="eastAsia" w:ascii="宋体" w:hAnsi="宋体" w:eastAsia="宋体" w:cs="宋体"/>
          <w:bCs/>
          <w:color w:val="auto"/>
          <w:kern w:val="2"/>
          <w:sz w:val="21"/>
          <w:szCs w:val="21"/>
          <w:highlight w:val="none"/>
          <w:u w:val="none"/>
          <w:lang w:val="en-US" w:eastAsia="zh-CN" w:bidi="ar-SA"/>
        </w:rPr>
      </w:pPr>
      <w:r>
        <w:rPr>
          <w:rFonts w:hint="eastAsia" w:ascii="宋体" w:hAnsi="宋体" w:eastAsia="宋体" w:cs="宋体"/>
          <w:bCs/>
          <w:color w:val="auto"/>
          <w:kern w:val="2"/>
          <w:sz w:val="21"/>
          <w:szCs w:val="21"/>
          <w:highlight w:val="none"/>
          <w:u w:val="none"/>
          <w:lang w:val="en-US" w:eastAsia="zh-CN" w:bidi="ar-SA"/>
        </w:rPr>
        <w:t>甲方的最高管理者或经授权的高级管理层成员缺席首、末次会议；</w:t>
      </w:r>
    </w:p>
    <w:p w14:paraId="6D0E1601">
      <w:pPr>
        <w:keepNext w:val="0"/>
        <w:keepLines w:val="0"/>
        <w:pageBreakBefore w:val="0"/>
        <w:widowControl w:val="0"/>
        <w:numPr>
          <w:ilvl w:val="0"/>
          <w:numId w:val="6"/>
        </w:numPr>
        <w:wordWrap/>
        <w:topLinePunct w:val="0"/>
        <w:autoSpaceDE/>
        <w:autoSpaceDN/>
        <w:bidi w:val="0"/>
        <w:adjustRightInd/>
        <w:snapToGrid/>
        <w:spacing w:line="460" w:lineRule="exact"/>
        <w:ind w:left="425" w:leftChars="0" w:hanging="5" w:firstLineChars="0"/>
        <w:textAlignment w:val="auto"/>
        <w:rPr>
          <w:rFonts w:hint="eastAsia" w:ascii="宋体" w:hAnsi="宋体" w:eastAsia="宋体" w:cs="宋体"/>
          <w:bCs/>
          <w:color w:val="auto"/>
          <w:kern w:val="2"/>
          <w:sz w:val="21"/>
          <w:szCs w:val="21"/>
          <w:highlight w:val="none"/>
          <w:u w:val="none"/>
          <w:lang w:val="en-US" w:eastAsia="zh-CN" w:bidi="ar-SA"/>
        </w:rPr>
      </w:pPr>
      <w:r>
        <w:rPr>
          <w:rFonts w:hint="eastAsia" w:ascii="宋体" w:hAnsi="宋体" w:eastAsia="宋体" w:cs="宋体"/>
          <w:bCs/>
          <w:color w:val="auto"/>
          <w:kern w:val="2"/>
          <w:sz w:val="21"/>
          <w:szCs w:val="21"/>
          <w:highlight w:val="none"/>
          <w:u w:val="none"/>
          <w:lang w:val="en-US" w:eastAsia="zh-CN" w:bidi="ar-SA"/>
        </w:rPr>
        <w:t>甲方实际情况与申请材料有重大不一致；</w:t>
      </w:r>
    </w:p>
    <w:p w14:paraId="4DBA65BF">
      <w:pPr>
        <w:keepNext w:val="0"/>
        <w:keepLines w:val="0"/>
        <w:pageBreakBefore w:val="0"/>
        <w:widowControl w:val="0"/>
        <w:numPr>
          <w:ilvl w:val="0"/>
          <w:numId w:val="6"/>
        </w:numPr>
        <w:wordWrap/>
        <w:topLinePunct w:val="0"/>
        <w:autoSpaceDE/>
        <w:autoSpaceDN/>
        <w:bidi w:val="0"/>
        <w:adjustRightInd/>
        <w:snapToGrid/>
        <w:spacing w:line="460" w:lineRule="exact"/>
        <w:ind w:left="425" w:leftChars="0" w:hanging="5" w:firstLineChars="0"/>
        <w:textAlignment w:val="auto"/>
        <w:rPr>
          <w:rFonts w:hint="eastAsia" w:ascii="宋体" w:hAnsi="宋体" w:eastAsia="宋体" w:cs="宋体"/>
          <w:bCs/>
          <w:strike w:val="0"/>
          <w:color w:val="auto"/>
          <w:kern w:val="2"/>
          <w:sz w:val="21"/>
          <w:szCs w:val="21"/>
          <w:highlight w:val="none"/>
          <w:u w:val="none"/>
          <w:lang w:val="en-US" w:eastAsia="zh-CN" w:bidi="ar-SA"/>
        </w:rPr>
      </w:pPr>
      <w:r>
        <w:rPr>
          <w:rFonts w:hint="eastAsia" w:ascii="宋体" w:hAnsi="宋体" w:eastAsia="宋体" w:cs="宋体"/>
          <w:bCs/>
          <w:strike w:val="0"/>
          <w:dstrike w:val="0"/>
          <w:color w:val="auto"/>
          <w:kern w:val="2"/>
          <w:sz w:val="21"/>
          <w:szCs w:val="21"/>
          <w:highlight w:val="none"/>
          <w:u w:val="none"/>
          <w:lang w:val="en-US" w:eastAsia="zh-CN" w:bidi="ar-SA"/>
        </w:rPr>
        <w:t>乙方确认申请信息和文件资料存在虚假情况的；</w:t>
      </w:r>
    </w:p>
    <w:p w14:paraId="4A6E9A04">
      <w:pPr>
        <w:keepNext w:val="0"/>
        <w:keepLines w:val="0"/>
        <w:pageBreakBefore w:val="0"/>
        <w:widowControl w:val="0"/>
        <w:numPr>
          <w:ilvl w:val="0"/>
          <w:numId w:val="6"/>
        </w:numPr>
        <w:wordWrap/>
        <w:topLinePunct w:val="0"/>
        <w:autoSpaceDE/>
        <w:autoSpaceDN/>
        <w:bidi w:val="0"/>
        <w:adjustRightInd/>
        <w:snapToGrid/>
        <w:spacing w:line="460" w:lineRule="exact"/>
        <w:ind w:left="425" w:leftChars="0" w:hanging="5" w:firstLineChars="0"/>
        <w:textAlignment w:val="auto"/>
        <w:rPr>
          <w:rFonts w:hint="eastAsia" w:ascii="宋体" w:hAnsi="宋体" w:eastAsia="宋体" w:cs="宋体"/>
          <w:bCs/>
          <w:color w:val="auto"/>
          <w:kern w:val="2"/>
          <w:sz w:val="21"/>
          <w:szCs w:val="21"/>
          <w:highlight w:val="none"/>
          <w:u w:val="none"/>
          <w:lang w:val="en-US" w:eastAsia="zh-CN" w:bidi="ar-SA"/>
        </w:rPr>
      </w:pPr>
      <w:r>
        <w:rPr>
          <w:rFonts w:hint="eastAsia" w:ascii="宋体" w:hAnsi="宋体" w:cs="宋体"/>
          <w:bCs/>
          <w:color w:val="auto"/>
          <w:kern w:val="2"/>
          <w:sz w:val="21"/>
          <w:szCs w:val="21"/>
          <w:highlight w:val="none"/>
          <w:u w:val="none"/>
          <w:lang w:val="en-US" w:eastAsia="zh-CN" w:bidi="ar-SA"/>
        </w:rPr>
        <w:t>一年内甲方发生重大生产安全事故，或审核实施中甲方发生人员死亡事故；</w:t>
      </w:r>
    </w:p>
    <w:p w14:paraId="0E3245BA">
      <w:pPr>
        <w:pStyle w:val="4"/>
        <w:keepNext w:val="0"/>
        <w:keepLines w:val="0"/>
        <w:pageBreakBefore w:val="0"/>
        <w:widowControl w:val="0"/>
        <w:numPr>
          <w:ilvl w:val="0"/>
          <w:numId w:val="6"/>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kern w:val="2"/>
          <w:sz w:val="21"/>
          <w:szCs w:val="21"/>
          <w:highlight w:val="none"/>
          <w:u w:val="none"/>
          <w:lang w:val="en-US" w:eastAsia="zh-CN" w:bidi="ar-SA"/>
        </w:rPr>
      </w:pPr>
      <w:r>
        <w:rPr>
          <w:rFonts w:hint="eastAsia" w:ascii="宋体" w:hAnsi="宋体" w:eastAsia="宋体" w:cs="宋体"/>
          <w:bCs/>
          <w:color w:val="auto"/>
          <w:kern w:val="2"/>
          <w:sz w:val="21"/>
          <w:szCs w:val="21"/>
          <w:highlight w:val="none"/>
          <w:u w:val="none"/>
          <w:lang w:val="en-US" w:eastAsia="zh-CN" w:bidi="ar-SA"/>
        </w:rPr>
        <w:t>其他导致审核程序无法完成的情况</w:t>
      </w:r>
      <w:r>
        <w:rPr>
          <w:rFonts w:hint="eastAsia" w:hAnsi="宋体" w:cs="宋体"/>
          <w:bCs/>
          <w:color w:val="auto"/>
          <w:kern w:val="2"/>
          <w:sz w:val="21"/>
          <w:szCs w:val="21"/>
          <w:highlight w:val="none"/>
          <w:u w:val="none"/>
          <w:lang w:val="en-US" w:eastAsia="zh-CN" w:bidi="ar-SA"/>
        </w:rPr>
        <w:t>。</w:t>
      </w:r>
    </w:p>
    <w:p w14:paraId="74F3FD7A">
      <w:pPr>
        <w:keepNext w:val="0"/>
        <w:keepLines w:val="0"/>
        <w:pageBreakBefore w:val="0"/>
        <w:widowControl w:val="0"/>
        <w:numPr>
          <w:ilvl w:val="0"/>
          <w:numId w:val="0"/>
        </w:numPr>
        <w:wordWrap/>
        <w:topLinePunct w:val="0"/>
        <w:autoSpaceDE/>
        <w:autoSpaceDN/>
        <w:bidi w:val="0"/>
        <w:adjustRightInd/>
        <w:snapToGrid/>
        <w:spacing w:line="460" w:lineRule="exact"/>
        <w:ind w:left="420" w:leftChars="0" w:firstLine="0" w:firstLineChars="0"/>
        <w:textAlignment w:val="auto"/>
        <w:rPr>
          <w:rFonts w:hint="eastAsia" w:ascii="宋体" w:hAnsi="宋体" w:eastAsia="宋体" w:cs="宋体"/>
          <w:bCs/>
          <w:color w:val="auto"/>
          <w:kern w:val="2"/>
          <w:sz w:val="21"/>
          <w:szCs w:val="21"/>
          <w:highlight w:val="none"/>
          <w:u w:val="none"/>
          <w:lang w:val="en-US" w:eastAsia="zh-CN" w:bidi="ar-SA"/>
        </w:rPr>
      </w:pPr>
      <w:r>
        <w:rPr>
          <w:rFonts w:hint="eastAsia" w:ascii="宋体" w:hAnsi="宋体" w:eastAsia="宋体" w:cs="宋体"/>
          <w:bCs/>
          <w:color w:val="auto"/>
          <w:kern w:val="2"/>
          <w:sz w:val="21"/>
          <w:szCs w:val="21"/>
          <w:highlight w:val="none"/>
          <w:u w:val="none"/>
          <w:lang w:val="en-US" w:eastAsia="zh-CN" w:bidi="ar-SA"/>
        </w:rPr>
        <w:t>14）甲方应留存认证证书有效期内相应的认证记录，可以纸质文件或电子文档形式保存，以电子文档形式保存的，应采用不可编辑的方式。认证记录包括但不限于：</w:t>
      </w:r>
    </w:p>
    <w:p w14:paraId="3993424E">
      <w:pPr>
        <w:keepNext w:val="0"/>
        <w:keepLines w:val="0"/>
        <w:pageBreakBefore w:val="0"/>
        <w:widowControl w:val="0"/>
        <w:numPr>
          <w:ilvl w:val="0"/>
          <w:numId w:val="7"/>
        </w:numPr>
        <w:tabs>
          <w:tab w:val="left" w:pos="0"/>
          <w:tab w:val="left" w:pos="840"/>
        </w:tabs>
        <w:wordWrap/>
        <w:topLinePunct w:val="0"/>
        <w:autoSpaceDE/>
        <w:autoSpaceDN/>
        <w:bidi w:val="0"/>
        <w:adjustRightInd/>
        <w:snapToGrid/>
        <w:spacing w:line="460" w:lineRule="exact"/>
        <w:ind w:firstLine="630" w:firstLineChars="300"/>
        <w:textAlignment w:val="auto"/>
        <w:rPr>
          <w:rFonts w:hint="eastAsia" w:ascii="宋体" w:hAnsi="宋体" w:eastAsia="宋体" w:cs="宋体"/>
          <w:bCs/>
          <w:color w:val="auto"/>
          <w:kern w:val="2"/>
          <w:sz w:val="21"/>
          <w:szCs w:val="21"/>
          <w:highlight w:val="none"/>
          <w:u w:val="none"/>
          <w:lang w:val="en-US" w:eastAsia="zh-CN" w:bidi="ar-SA"/>
        </w:rPr>
      </w:pPr>
      <w:r>
        <w:rPr>
          <w:rFonts w:hint="eastAsia" w:ascii="宋体" w:hAnsi="宋体" w:eastAsia="宋体" w:cs="宋体"/>
          <w:bCs/>
          <w:color w:val="auto"/>
          <w:kern w:val="2"/>
          <w:sz w:val="21"/>
          <w:szCs w:val="21"/>
          <w:highlight w:val="none"/>
          <w:u w:val="none"/>
          <w:lang w:val="en-US" w:eastAsia="zh-CN" w:bidi="ar-SA"/>
        </w:rPr>
        <w:t>认证合同；</w:t>
      </w:r>
    </w:p>
    <w:p w14:paraId="4DB917AD">
      <w:pPr>
        <w:keepNext w:val="0"/>
        <w:keepLines w:val="0"/>
        <w:pageBreakBefore w:val="0"/>
        <w:widowControl w:val="0"/>
        <w:wordWrap/>
        <w:topLinePunct w:val="0"/>
        <w:autoSpaceDE/>
        <w:autoSpaceDN/>
        <w:bidi w:val="0"/>
        <w:adjustRightInd/>
        <w:snapToGrid/>
        <w:spacing w:line="460" w:lineRule="exact"/>
        <w:ind w:firstLine="630" w:firstLineChars="300"/>
        <w:textAlignment w:val="auto"/>
        <w:rPr>
          <w:rFonts w:hint="eastAsia" w:ascii="宋体" w:hAnsi="宋体" w:eastAsia="宋体" w:cs="宋体"/>
          <w:bCs/>
          <w:color w:val="auto"/>
          <w:kern w:val="2"/>
          <w:sz w:val="21"/>
          <w:szCs w:val="21"/>
          <w:highlight w:val="none"/>
          <w:u w:val="none"/>
          <w:lang w:val="en-US" w:eastAsia="zh-CN" w:bidi="ar-SA"/>
        </w:rPr>
      </w:pPr>
      <w:r>
        <w:rPr>
          <w:rFonts w:hint="eastAsia" w:ascii="宋体" w:hAnsi="宋体" w:eastAsia="宋体" w:cs="宋体"/>
          <w:bCs/>
          <w:color w:val="auto"/>
          <w:kern w:val="2"/>
          <w:sz w:val="21"/>
          <w:szCs w:val="21"/>
          <w:highlight w:val="none"/>
          <w:u w:val="none"/>
          <w:lang w:val="en-US" w:eastAsia="zh-CN" w:bidi="ar-SA"/>
        </w:rPr>
        <w:t>b) 审核计划；</w:t>
      </w:r>
    </w:p>
    <w:p w14:paraId="14386673">
      <w:pPr>
        <w:keepNext w:val="0"/>
        <w:keepLines w:val="0"/>
        <w:pageBreakBefore w:val="0"/>
        <w:widowControl w:val="0"/>
        <w:wordWrap/>
        <w:topLinePunct w:val="0"/>
        <w:autoSpaceDE/>
        <w:autoSpaceDN/>
        <w:bidi w:val="0"/>
        <w:adjustRightInd/>
        <w:snapToGrid/>
        <w:spacing w:line="460" w:lineRule="exact"/>
        <w:ind w:firstLine="630" w:firstLineChars="300"/>
        <w:textAlignment w:val="auto"/>
        <w:rPr>
          <w:rFonts w:hint="eastAsia" w:ascii="宋体" w:hAnsi="宋体" w:eastAsia="宋体" w:cs="宋体"/>
          <w:bCs/>
          <w:color w:val="auto"/>
          <w:kern w:val="2"/>
          <w:sz w:val="21"/>
          <w:szCs w:val="21"/>
          <w:highlight w:val="none"/>
          <w:u w:val="none"/>
          <w:lang w:val="en-US" w:eastAsia="zh-CN" w:bidi="ar-SA"/>
        </w:rPr>
      </w:pPr>
      <w:r>
        <w:rPr>
          <w:rFonts w:hint="eastAsia" w:ascii="宋体" w:hAnsi="宋体" w:eastAsia="宋体" w:cs="宋体"/>
          <w:bCs/>
          <w:color w:val="auto"/>
          <w:kern w:val="2"/>
          <w:sz w:val="21"/>
          <w:szCs w:val="21"/>
          <w:highlight w:val="none"/>
          <w:u w:val="none"/>
          <w:lang w:val="en-US" w:eastAsia="zh-CN" w:bidi="ar-SA"/>
        </w:rPr>
        <w:t>c) 首、末次会议签到表；</w:t>
      </w:r>
    </w:p>
    <w:p w14:paraId="6504BDCF">
      <w:pPr>
        <w:keepNext w:val="0"/>
        <w:keepLines w:val="0"/>
        <w:pageBreakBefore w:val="0"/>
        <w:widowControl w:val="0"/>
        <w:wordWrap/>
        <w:topLinePunct w:val="0"/>
        <w:autoSpaceDE/>
        <w:autoSpaceDN/>
        <w:bidi w:val="0"/>
        <w:adjustRightInd/>
        <w:snapToGrid/>
        <w:spacing w:line="460" w:lineRule="exact"/>
        <w:ind w:firstLine="630" w:firstLineChars="300"/>
        <w:textAlignment w:val="auto"/>
        <w:rPr>
          <w:rFonts w:hint="eastAsia" w:ascii="宋体" w:hAnsi="宋体" w:eastAsia="宋体" w:cs="宋体"/>
          <w:bCs/>
          <w:color w:val="auto"/>
          <w:kern w:val="2"/>
          <w:sz w:val="21"/>
          <w:szCs w:val="21"/>
          <w:highlight w:val="none"/>
          <w:u w:val="none"/>
          <w:lang w:val="en-US" w:eastAsia="zh-CN" w:bidi="ar-SA"/>
        </w:rPr>
      </w:pPr>
      <w:r>
        <w:rPr>
          <w:rFonts w:hint="eastAsia" w:ascii="宋体" w:hAnsi="宋体" w:eastAsia="宋体" w:cs="宋体"/>
          <w:bCs/>
          <w:color w:val="auto"/>
          <w:kern w:val="2"/>
          <w:sz w:val="21"/>
          <w:szCs w:val="21"/>
          <w:highlight w:val="none"/>
          <w:u w:val="none"/>
          <w:lang w:val="en-US" w:eastAsia="zh-CN" w:bidi="ar-SA"/>
        </w:rPr>
        <w:t>d) 不符合报告及原因分析和纠正措施；</w:t>
      </w:r>
    </w:p>
    <w:p w14:paraId="623CF2F6">
      <w:pPr>
        <w:keepNext w:val="0"/>
        <w:keepLines w:val="0"/>
        <w:pageBreakBefore w:val="0"/>
        <w:widowControl w:val="0"/>
        <w:wordWrap/>
        <w:topLinePunct w:val="0"/>
        <w:autoSpaceDE/>
        <w:autoSpaceDN/>
        <w:bidi w:val="0"/>
        <w:adjustRightInd/>
        <w:snapToGrid/>
        <w:spacing w:line="460" w:lineRule="exact"/>
        <w:ind w:firstLine="630" w:firstLineChars="300"/>
        <w:textAlignment w:val="auto"/>
        <w:rPr>
          <w:rFonts w:hint="eastAsia" w:ascii="宋体" w:hAnsi="宋体" w:eastAsia="宋体" w:cs="宋体"/>
          <w:bCs/>
          <w:color w:val="auto"/>
          <w:kern w:val="2"/>
          <w:sz w:val="21"/>
          <w:szCs w:val="21"/>
          <w:highlight w:val="none"/>
          <w:u w:val="none"/>
          <w:lang w:val="en-US" w:eastAsia="zh-CN" w:bidi="ar-SA"/>
        </w:rPr>
      </w:pPr>
      <w:r>
        <w:rPr>
          <w:rFonts w:hint="eastAsia" w:ascii="宋体" w:hAnsi="宋体" w:eastAsia="宋体" w:cs="宋体"/>
          <w:bCs/>
          <w:color w:val="auto"/>
          <w:kern w:val="2"/>
          <w:sz w:val="21"/>
          <w:szCs w:val="21"/>
          <w:highlight w:val="none"/>
          <w:u w:val="none"/>
          <w:lang w:val="en-US" w:eastAsia="zh-CN" w:bidi="ar-SA"/>
        </w:rPr>
        <w:t>e) 审核报告；</w:t>
      </w:r>
    </w:p>
    <w:p w14:paraId="2B3BAD20">
      <w:pPr>
        <w:keepNext w:val="0"/>
        <w:keepLines w:val="0"/>
        <w:pageBreakBefore w:val="0"/>
        <w:widowControl w:val="0"/>
        <w:wordWrap/>
        <w:topLinePunct w:val="0"/>
        <w:autoSpaceDE/>
        <w:autoSpaceDN/>
        <w:bidi w:val="0"/>
        <w:adjustRightInd/>
        <w:snapToGrid/>
        <w:spacing w:line="460" w:lineRule="exact"/>
        <w:ind w:firstLine="630" w:firstLineChars="300"/>
        <w:textAlignment w:val="auto"/>
        <w:rPr>
          <w:rFonts w:hint="eastAsia" w:ascii="宋体" w:hAnsi="宋体" w:eastAsia="宋体" w:cs="宋体"/>
          <w:bCs/>
          <w:color w:val="auto"/>
          <w:kern w:val="2"/>
          <w:sz w:val="21"/>
          <w:szCs w:val="21"/>
          <w:highlight w:val="none"/>
          <w:u w:val="none"/>
          <w:lang w:val="en-US" w:eastAsia="zh-CN" w:bidi="ar-SA"/>
        </w:rPr>
      </w:pPr>
      <w:r>
        <w:rPr>
          <w:rFonts w:hint="eastAsia" w:ascii="宋体" w:hAnsi="宋体" w:eastAsia="宋体" w:cs="宋体"/>
          <w:bCs/>
          <w:color w:val="auto"/>
          <w:kern w:val="2"/>
          <w:sz w:val="21"/>
          <w:szCs w:val="21"/>
          <w:highlight w:val="none"/>
          <w:u w:val="none"/>
          <w:lang w:val="en-US" w:eastAsia="zh-CN" w:bidi="ar-SA"/>
        </w:rPr>
        <w:t>f) 暂停、撤销通知（适用时）。</w:t>
      </w:r>
    </w:p>
    <w:p w14:paraId="7CCF1762">
      <w:pPr>
        <w:keepNext w:val="0"/>
        <w:keepLines w:val="0"/>
        <w:pageBreakBefore w:val="0"/>
        <w:widowControl w:val="0"/>
        <w:numPr>
          <w:ilvl w:val="0"/>
          <w:numId w:val="0"/>
        </w:numPr>
        <w:wordWrap/>
        <w:topLinePunct w:val="0"/>
        <w:autoSpaceDE/>
        <w:autoSpaceDN/>
        <w:bidi w:val="0"/>
        <w:adjustRightInd/>
        <w:snapToGrid/>
        <w:spacing w:line="460" w:lineRule="exact"/>
        <w:ind w:left="480" w:leftChars="0"/>
        <w:textAlignment w:val="auto"/>
        <w:rPr>
          <w:rFonts w:hint="eastAsia" w:ascii="宋体" w:hAnsi="宋体" w:eastAsia="宋体" w:cs="宋体"/>
          <w:bCs/>
          <w:color w:val="auto"/>
          <w:kern w:val="2"/>
          <w:sz w:val="21"/>
          <w:szCs w:val="21"/>
          <w:highlight w:val="none"/>
          <w:u w:val="none"/>
          <w:lang w:val="en-US" w:eastAsia="zh-CN" w:bidi="ar-SA"/>
        </w:rPr>
      </w:pPr>
      <w:r>
        <w:rPr>
          <w:rFonts w:hint="eastAsia" w:ascii="宋体" w:hAnsi="宋体" w:eastAsia="宋体" w:cs="宋体"/>
          <w:bCs/>
          <w:color w:val="auto"/>
          <w:kern w:val="2"/>
          <w:sz w:val="21"/>
          <w:szCs w:val="21"/>
          <w:highlight w:val="none"/>
          <w:u w:val="none"/>
          <w:lang w:val="en-US" w:eastAsia="zh-CN" w:bidi="ar-SA"/>
        </w:rPr>
        <w:t>14）</w:t>
      </w:r>
      <w:r>
        <w:rPr>
          <w:rFonts w:hint="eastAsia" w:ascii="宋体" w:hAnsi="宋体" w:eastAsia="宋体" w:cs="宋体"/>
          <w:bCs/>
          <w:color w:val="auto"/>
          <w:kern w:val="2"/>
          <w:sz w:val="21"/>
          <w:szCs w:val="21"/>
          <w:highlight w:val="none"/>
          <w:u w:val="none"/>
          <w:lang w:val="en-GB" w:eastAsia="zh-CN" w:bidi="ar-SA"/>
        </w:rPr>
        <w:t>产品和服务被国家行政主管部门在监督抽查中被查出不合格，</w:t>
      </w:r>
      <w:r>
        <w:rPr>
          <w:rFonts w:hint="eastAsia" w:ascii="宋体" w:hAnsi="宋体" w:eastAsia="宋体" w:cs="宋体"/>
          <w:bCs/>
          <w:color w:val="auto"/>
          <w:kern w:val="2"/>
          <w:sz w:val="21"/>
          <w:szCs w:val="21"/>
          <w:highlight w:val="none"/>
          <w:u w:val="none"/>
          <w:lang w:val="en-US" w:eastAsia="zh-CN" w:bidi="ar-SA"/>
        </w:rPr>
        <w:t>或环境、安全等监测不合格，或发生重大事故，或发生重大投诉，或对变更做出回应或对暂停认证进行跟踪</w:t>
      </w:r>
      <w:r>
        <w:rPr>
          <w:rFonts w:hint="eastAsia" w:ascii="宋体" w:hAnsi="宋体" w:eastAsia="宋体" w:cs="宋体"/>
          <w:bCs/>
          <w:color w:val="auto"/>
          <w:kern w:val="2"/>
          <w:sz w:val="21"/>
          <w:szCs w:val="21"/>
          <w:highlight w:val="none"/>
          <w:u w:val="none"/>
          <w:lang w:val="en-GB" w:eastAsia="zh-CN" w:bidi="ar-SA"/>
        </w:rPr>
        <w:t>时，应接受乙方实施的特殊审核（提前较短时间通知的审核），由此产生的费用由甲方承担。否则，认证资格将被暂停或撤销。</w:t>
      </w:r>
    </w:p>
    <w:p w14:paraId="1922347E">
      <w:pPr>
        <w:keepNext w:val="0"/>
        <w:keepLines w:val="0"/>
        <w:pageBreakBefore w:val="0"/>
        <w:widowControl w:val="0"/>
        <w:numPr>
          <w:ilvl w:val="0"/>
          <w:numId w:val="0"/>
        </w:numPr>
        <w:wordWrap/>
        <w:topLinePunct w:val="0"/>
        <w:autoSpaceDE/>
        <w:autoSpaceDN/>
        <w:bidi w:val="0"/>
        <w:adjustRightInd/>
        <w:snapToGrid/>
        <w:spacing w:line="460" w:lineRule="exact"/>
        <w:ind w:left="480" w:leftChars="0"/>
        <w:textAlignment w:val="auto"/>
        <w:rPr>
          <w:rFonts w:hint="eastAsia" w:ascii="宋体" w:hAnsi="宋体" w:eastAsia="宋体" w:cs="宋体"/>
          <w:bCs/>
          <w:color w:val="auto"/>
          <w:kern w:val="2"/>
          <w:sz w:val="21"/>
          <w:szCs w:val="21"/>
          <w:highlight w:val="none"/>
          <w:u w:val="none"/>
          <w:lang w:val="en-US" w:eastAsia="zh-CN" w:bidi="ar-SA"/>
        </w:rPr>
      </w:pPr>
      <w:r>
        <w:rPr>
          <w:rFonts w:hint="eastAsia" w:ascii="宋体" w:hAnsi="宋体" w:eastAsia="宋体" w:cs="宋体"/>
          <w:bCs/>
          <w:color w:val="auto"/>
          <w:kern w:val="2"/>
          <w:sz w:val="21"/>
          <w:szCs w:val="21"/>
          <w:highlight w:val="none"/>
          <w:u w:val="none"/>
          <w:lang w:val="en-US" w:eastAsia="zh-CN" w:bidi="ar-SA"/>
        </w:rPr>
        <w:t>15）若甲方产品在产品质量国家监督抽查中被查出不合格时，自国家市场监督管理总局发出通报起30日内，乙方将对甲方实施</w:t>
      </w:r>
      <w:r>
        <w:rPr>
          <w:rFonts w:hint="eastAsia" w:ascii="宋体" w:hAnsi="宋体" w:eastAsia="宋体" w:cs="宋体"/>
          <w:bCs/>
          <w:color w:val="auto"/>
          <w:kern w:val="2"/>
          <w:sz w:val="21"/>
          <w:szCs w:val="21"/>
          <w:highlight w:val="none"/>
          <w:u w:val="none"/>
          <w:lang w:val="en-GB" w:eastAsia="zh-CN" w:bidi="ar-SA"/>
        </w:rPr>
        <w:t>特殊审核（提前较短时间通知的审核）</w:t>
      </w:r>
      <w:r>
        <w:rPr>
          <w:rFonts w:hint="eastAsia" w:ascii="宋体" w:hAnsi="宋体" w:eastAsia="宋体" w:cs="宋体"/>
          <w:bCs/>
          <w:color w:val="auto"/>
          <w:kern w:val="2"/>
          <w:sz w:val="21"/>
          <w:szCs w:val="21"/>
          <w:highlight w:val="none"/>
          <w:u w:val="none"/>
          <w:lang w:val="en-US" w:eastAsia="zh-CN" w:bidi="ar-SA"/>
        </w:rPr>
        <w:t>，由此产生的费用由甲方承担。</w:t>
      </w:r>
    </w:p>
    <w:p w14:paraId="1CF6ABF7">
      <w:pPr>
        <w:keepNext w:val="0"/>
        <w:keepLines w:val="0"/>
        <w:pageBreakBefore w:val="0"/>
        <w:widowControl w:val="0"/>
        <w:numPr>
          <w:ilvl w:val="0"/>
          <w:numId w:val="0"/>
        </w:numPr>
        <w:wordWrap/>
        <w:topLinePunct w:val="0"/>
        <w:autoSpaceDE/>
        <w:autoSpaceDN/>
        <w:bidi w:val="0"/>
        <w:adjustRightInd/>
        <w:snapToGrid/>
        <w:spacing w:line="460" w:lineRule="exact"/>
        <w:ind w:left="480" w:leftChars="0"/>
        <w:textAlignment w:val="auto"/>
        <w:rPr>
          <w:rFonts w:hint="eastAsia" w:ascii="宋体" w:hAnsi="宋体" w:eastAsia="宋体" w:cs="宋体"/>
          <w:bCs/>
          <w:color w:val="auto"/>
          <w:kern w:val="2"/>
          <w:sz w:val="21"/>
          <w:szCs w:val="21"/>
          <w:highlight w:val="none"/>
          <w:u w:val="none"/>
          <w:lang w:val="en-US" w:eastAsia="zh-CN" w:bidi="ar-SA"/>
        </w:rPr>
      </w:pPr>
      <w:r>
        <w:rPr>
          <w:rFonts w:hint="eastAsia" w:ascii="宋体" w:hAnsi="宋体" w:eastAsia="宋体" w:cs="宋体"/>
          <w:bCs/>
          <w:color w:val="auto"/>
          <w:kern w:val="2"/>
          <w:sz w:val="21"/>
          <w:szCs w:val="21"/>
          <w:highlight w:val="none"/>
          <w:u w:val="none"/>
          <w:lang w:val="en-US" w:eastAsia="zh-CN" w:bidi="ar-SA"/>
        </w:rPr>
        <w:t>16）由于甲方原因造成审核人日或费用的增加，增加部分由甲方承担；</w:t>
      </w:r>
    </w:p>
    <w:p w14:paraId="16C1F896">
      <w:pPr>
        <w:keepNext w:val="0"/>
        <w:keepLines w:val="0"/>
        <w:pageBreakBefore w:val="0"/>
        <w:widowControl w:val="0"/>
        <w:numPr>
          <w:ilvl w:val="0"/>
          <w:numId w:val="0"/>
        </w:numPr>
        <w:wordWrap/>
        <w:topLinePunct w:val="0"/>
        <w:autoSpaceDE/>
        <w:autoSpaceDN/>
        <w:bidi w:val="0"/>
        <w:adjustRightInd/>
        <w:snapToGrid/>
        <w:spacing w:line="460" w:lineRule="exact"/>
        <w:ind w:left="480" w:leftChars="0"/>
        <w:textAlignment w:val="auto"/>
        <w:rPr>
          <w:rFonts w:hint="eastAsia"/>
          <w:bCs/>
          <w:color w:val="auto"/>
          <w:sz w:val="24"/>
          <w:highlight w:val="none"/>
        </w:rPr>
      </w:pPr>
      <w:r>
        <w:rPr>
          <w:rFonts w:hint="eastAsia" w:ascii="宋体" w:hAnsi="宋体" w:eastAsia="宋体" w:cs="宋体"/>
          <w:bCs/>
          <w:color w:val="auto"/>
          <w:kern w:val="2"/>
          <w:sz w:val="21"/>
          <w:szCs w:val="21"/>
          <w:highlight w:val="none"/>
          <w:u w:val="none"/>
          <w:lang w:val="en-US" w:eastAsia="zh-CN" w:bidi="ar-SA"/>
        </w:rPr>
        <w:t xml:space="preserve"> </w:t>
      </w:r>
      <w:r>
        <w:rPr>
          <w:rFonts w:hint="eastAsia"/>
          <w:bCs/>
          <w:color w:val="auto"/>
          <w:sz w:val="24"/>
          <w:highlight w:val="none"/>
        </w:rPr>
        <w:t xml:space="preserve"> </w:t>
      </w:r>
      <w:permStart w:id="24" w:edGrp="everyone"/>
      <w:permEnd w:id="24"/>
      <w:r>
        <w:rPr>
          <w:rFonts w:hint="eastAsia"/>
          <w:bCs/>
          <w:color w:val="auto"/>
          <w:sz w:val="24"/>
          <w:highlight w:val="none"/>
        </w:rPr>
        <w:t xml:space="preserve">     </w:t>
      </w:r>
    </w:p>
    <w:p w14:paraId="6D30A8CC">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 1.3 甲方的承诺</w:t>
      </w:r>
    </w:p>
    <w:p w14:paraId="6F8C036D">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1)</w:t>
      </w:r>
      <w:r>
        <w:rPr>
          <w:rFonts w:hint="eastAsia" w:ascii="宋体" w:hAnsi="宋体" w:eastAsia="宋体" w:cs="宋体"/>
          <w:bCs/>
          <w:color w:val="auto"/>
          <w:szCs w:val="21"/>
          <w:highlight w:val="none"/>
          <w:u w:val="none"/>
          <w:lang w:val="en-US" w:eastAsia="zh-CN"/>
        </w:rPr>
        <w:tab/>
      </w:r>
      <w:r>
        <w:rPr>
          <w:rFonts w:hint="eastAsia" w:ascii="宋体" w:hAnsi="宋体" w:eastAsia="宋体" w:cs="宋体"/>
          <w:bCs/>
          <w:color w:val="auto"/>
          <w:szCs w:val="21"/>
          <w:highlight w:val="none"/>
          <w:u w:val="none"/>
          <w:lang w:val="en-US" w:eastAsia="zh-CN"/>
        </w:rPr>
        <w:t>甲方承诺证书有效期内，持续有效运行管理体系；</w:t>
      </w:r>
    </w:p>
    <w:p w14:paraId="7989E036">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2)</w:t>
      </w:r>
      <w:r>
        <w:rPr>
          <w:rFonts w:hint="eastAsia" w:ascii="宋体" w:hAnsi="宋体" w:eastAsia="宋体" w:cs="宋体"/>
          <w:bCs/>
          <w:color w:val="auto"/>
          <w:szCs w:val="21"/>
          <w:highlight w:val="none"/>
          <w:u w:val="none"/>
          <w:lang w:val="en-US" w:eastAsia="zh-CN"/>
        </w:rPr>
        <w:tab/>
      </w:r>
      <w:r>
        <w:rPr>
          <w:rFonts w:hint="eastAsia" w:ascii="宋体" w:hAnsi="宋体" w:eastAsia="宋体" w:cs="宋体"/>
          <w:bCs/>
          <w:color w:val="auto"/>
          <w:szCs w:val="21"/>
          <w:highlight w:val="none"/>
          <w:u w:val="none"/>
          <w:lang w:val="en-US" w:eastAsia="zh-CN"/>
        </w:rPr>
        <w:t>始终遵守认证认可相关法律法规与乙方相关认证程序等规定，协助认证监管部门的监督检查，对有关事项的询问和调查如实提供相关材料和信息；</w:t>
      </w:r>
    </w:p>
    <w:p w14:paraId="212A8B6A">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367" w:firstLineChars="175"/>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2. 乙方的权利和义务 </w:t>
      </w:r>
    </w:p>
    <w:p w14:paraId="4A5024F9">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2.1 乙方的权利  </w:t>
      </w:r>
    </w:p>
    <w:p w14:paraId="77A55436">
      <w:pPr>
        <w:keepNext w:val="0"/>
        <w:keepLines w:val="0"/>
        <w:pageBreakBefore w:val="0"/>
        <w:widowControl w:val="0"/>
        <w:numPr>
          <w:ilvl w:val="0"/>
          <w:numId w:val="8"/>
        </w:numPr>
        <w:wordWrap/>
        <w:topLinePunct w:val="0"/>
        <w:autoSpaceDE/>
        <w:autoSpaceDN/>
        <w:bidi w:val="0"/>
        <w:adjustRightInd/>
        <w:snapToGrid/>
        <w:spacing w:line="460" w:lineRule="exact"/>
        <w:ind w:left="425" w:leftChars="0" w:hanging="5" w:firstLineChars="0"/>
        <w:textAlignment w:val="auto"/>
        <w:rPr>
          <w:rFonts w:hint="eastAsia" w:ascii="宋体" w:hAnsi="宋体" w:eastAsia="宋体" w:cs="宋体"/>
          <w:bCs/>
          <w:color w:val="auto"/>
          <w:kern w:val="2"/>
          <w:sz w:val="21"/>
          <w:szCs w:val="21"/>
          <w:highlight w:val="none"/>
          <w:u w:val="none"/>
          <w:lang w:val="en-US" w:eastAsia="zh-CN" w:bidi="ar-SA"/>
        </w:rPr>
      </w:pPr>
      <w:r>
        <w:rPr>
          <w:rFonts w:hint="eastAsia" w:ascii="宋体" w:hAnsi="宋体" w:eastAsia="宋体" w:cs="宋体"/>
          <w:bCs/>
          <w:color w:val="auto"/>
          <w:kern w:val="2"/>
          <w:sz w:val="21"/>
          <w:szCs w:val="21"/>
          <w:highlight w:val="none"/>
          <w:u w:val="none"/>
          <w:lang w:val="en-US" w:eastAsia="zh-CN" w:bidi="ar-SA"/>
        </w:rPr>
        <w:t>向甲方提供公开性文件及相关认证过程的说明和解释；</w:t>
      </w:r>
    </w:p>
    <w:p w14:paraId="08223916">
      <w:pPr>
        <w:pStyle w:val="4"/>
        <w:keepNext w:val="0"/>
        <w:keepLines w:val="0"/>
        <w:pageBreakBefore w:val="0"/>
        <w:widowControl w:val="0"/>
        <w:numPr>
          <w:ilvl w:val="0"/>
          <w:numId w:val="8"/>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通过审核证明不满足认证要求的，乙方有权不颁发认证证书及不允许使用认证标志，并有权收取已经发生的认证活动费用。 </w:t>
      </w:r>
    </w:p>
    <w:p w14:paraId="5234D9A6">
      <w:pPr>
        <w:pStyle w:val="4"/>
        <w:keepNext w:val="0"/>
        <w:keepLines w:val="0"/>
        <w:pageBreakBefore w:val="0"/>
        <w:widowControl w:val="0"/>
        <w:numPr>
          <w:ilvl w:val="0"/>
          <w:numId w:val="8"/>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strike w:val="0"/>
          <w:dstrike w:val="0"/>
          <w:color w:val="auto"/>
          <w:szCs w:val="21"/>
          <w:highlight w:val="none"/>
          <w:u w:val="none"/>
          <w:lang w:val="en-US" w:eastAsia="zh-CN"/>
        </w:rPr>
      </w:pPr>
      <w:r>
        <w:rPr>
          <w:rFonts w:hint="eastAsia" w:ascii="宋体" w:hAnsi="宋体" w:eastAsia="宋体" w:cs="宋体"/>
          <w:bCs/>
          <w:strike w:val="0"/>
          <w:dstrike w:val="0"/>
          <w:color w:val="auto"/>
          <w:szCs w:val="21"/>
          <w:highlight w:val="none"/>
          <w:u w:val="none"/>
          <w:lang w:val="en-US" w:eastAsia="zh-CN"/>
        </w:rPr>
        <w:t>如甲方管理体系、产品发生重大变化或异常情况时，乙方有权增加监督审核频次，由此产生的费用由甲方承担。</w:t>
      </w:r>
    </w:p>
    <w:p w14:paraId="499E1157">
      <w:pPr>
        <w:pStyle w:val="4"/>
        <w:keepNext w:val="0"/>
        <w:keepLines w:val="0"/>
        <w:pageBreakBefore w:val="0"/>
        <w:widowControl w:val="0"/>
        <w:numPr>
          <w:ilvl w:val="0"/>
          <w:numId w:val="8"/>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strike w:val="0"/>
          <w:dstrike w:val="0"/>
          <w:color w:val="auto"/>
          <w:szCs w:val="21"/>
          <w:highlight w:val="none"/>
          <w:u w:val="none"/>
          <w:lang w:val="en-US" w:eastAsia="zh-CN"/>
        </w:rPr>
      </w:pPr>
      <w:r>
        <w:rPr>
          <w:rFonts w:hint="eastAsia" w:ascii="宋体" w:hAnsi="宋体" w:eastAsia="宋体" w:cs="宋体"/>
          <w:bCs/>
          <w:strike w:val="0"/>
          <w:dstrike w:val="0"/>
          <w:color w:val="auto"/>
          <w:szCs w:val="21"/>
          <w:highlight w:val="none"/>
          <w:u w:val="none"/>
          <w:lang w:val="en-US" w:eastAsia="zh-CN"/>
        </w:rPr>
        <w:t>甲方获证后如发生不能持续满足认证要求，乙方有权暂停、撤销甲方的认证证书并要求甲方停止使用并交还相关的认证证书和认证标志。</w:t>
      </w:r>
    </w:p>
    <w:p w14:paraId="17CA02E6">
      <w:pPr>
        <w:pStyle w:val="4"/>
        <w:keepNext w:val="0"/>
        <w:keepLines w:val="0"/>
        <w:pageBreakBefore w:val="0"/>
        <w:widowControl w:val="0"/>
        <w:numPr>
          <w:ilvl w:val="0"/>
          <w:numId w:val="8"/>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在证书有效期内，乙方有权按规定实施例行性监督审核、特殊审核及认证有效性稽查/抽查， 否则，乙方有权暂停、撤销甲方的认证资格并要求甲方停止使用并退还相关的认证证书。 </w:t>
      </w:r>
    </w:p>
    <w:p w14:paraId="7EE5BF2F">
      <w:pPr>
        <w:pStyle w:val="4"/>
        <w:keepNext w:val="0"/>
        <w:keepLines w:val="0"/>
        <w:pageBreakBefore w:val="0"/>
        <w:widowControl w:val="0"/>
        <w:numPr>
          <w:ilvl w:val="0"/>
          <w:numId w:val="8"/>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 甲方获准认证后，如不按时支付年金、监督审核费及审核人员的差旅费用，乙方有权暂停、撤销甲方的认证资格并要求甲方停止使用并退还相关的认证证书。 </w:t>
      </w:r>
    </w:p>
    <w:p w14:paraId="63F3A684">
      <w:pPr>
        <w:pStyle w:val="4"/>
        <w:keepNext w:val="0"/>
        <w:keepLines w:val="0"/>
        <w:pageBreakBefore w:val="0"/>
        <w:widowControl w:val="0"/>
        <w:numPr>
          <w:ilvl w:val="0"/>
          <w:numId w:val="8"/>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乙方按照认监委的规定动态公布甲方的获准、拒绝、保持、更新、扩大、缩小、暂停、恢复、撤销和注销的认证状态。 </w:t>
      </w:r>
    </w:p>
    <w:p w14:paraId="30471EAA">
      <w:pPr>
        <w:pStyle w:val="4"/>
        <w:keepNext w:val="0"/>
        <w:keepLines w:val="0"/>
        <w:pageBreakBefore w:val="0"/>
        <w:widowControl w:val="0"/>
        <w:numPr>
          <w:ilvl w:val="0"/>
          <w:numId w:val="8"/>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依据法律要求或认可机构合同要求，向监管部门或认可机构提供甲方信息。 </w:t>
      </w:r>
    </w:p>
    <w:p w14:paraId="6375A2A3">
      <w:pPr>
        <w:pStyle w:val="4"/>
        <w:keepNext w:val="0"/>
        <w:keepLines w:val="0"/>
        <w:pageBreakBefore w:val="0"/>
        <w:widowControl w:val="0"/>
        <w:numPr>
          <w:ilvl w:val="0"/>
          <w:numId w:val="8"/>
        </w:numPr>
        <w:kinsoku/>
        <w:wordWrap/>
        <w:overflowPunct/>
        <w:topLinePunct w:val="0"/>
        <w:autoSpaceDE/>
        <w:autoSpaceDN/>
        <w:bidi w:val="0"/>
        <w:adjustRightInd/>
        <w:snapToGrid/>
        <w:spacing w:line="400" w:lineRule="exact"/>
        <w:ind w:left="425" w:leftChars="0" w:right="42" w:rightChars="20" w:hanging="5" w:firstLineChars="0"/>
        <w:textAlignment w:val="auto"/>
        <w:rPr>
          <w:rFonts w:hint="default"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一旦发生1.2甲方义务第8）条所述任何事件，乙方有权立即：</w:t>
      </w:r>
      <w:r>
        <w:rPr>
          <w:rFonts w:hint="default" w:ascii="宋体" w:hAnsi="宋体" w:eastAsia="宋体" w:cs="宋体"/>
          <w:bCs/>
          <w:color w:val="auto"/>
          <w:szCs w:val="21"/>
          <w:highlight w:val="none"/>
          <w:u w:val="none"/>
          <w:lang w:val="en-US" w:eastAsia="zh-CN"/>
        </w:rPr>
        <w:br w:type="textWrapping"/>
      </w:r>
      <w:r>
        <w:rPr>
          <w:rFonts w:hint="default" w:ascii="宋体" w:hAnsi="宋体" w:eastAsia="宋体" w:cs="宋体"/>
          <w:bCs/>
          <w:color w:val="auto"/>
          <w:szCs w:val="21"/>
          <w:highlight w:val="none"/>
          <w:u w:val="none"/>
          <w:lang w:val="en-US" w:eastAsia="zh-CN"/>
        </w:rPr>
        <w:t>(a) 要求甲方提供详细信息，并启动信息核查；</w:t>
      </w:r>
      <w:r>
        <w:rPr>
          <w:rFonts w:hint="default" w:ascii="宋体" w:hAnsi="宋体" w:eastAsia="宋体" w:cs="宋体"/>
          <w:bCs/>
          <w:color w:val="auto"/>
          <w:szCs w:val="21"/>
          <w:highlight w:val="none"/>
          <w:u w:val="none"/>
          <w:lang w:val="en-US" w:eastAsia="zh-CN"/>
        </w:rPr>
        <w:br w:type="textWrapping"/>
      </w:r>
      <w:r>
        <w:rPr>
          <w:rFonts w:hint="default" w:ascii="宋体" w:hAnsi="宋体" w:eastAsia="宋体" w:cs="宋体"/>
          <w:bCs/>
          <w:color w:val="auto"/>
          <w:szCs w:val="21"/>
          <w:highlight w:val="none"/>
          <w:u w:val="none"/>
          <w:lang w:val="en-US" w:eastAsia="zh-CN"/>
        </w:rPr>
        <w:t>(b) 在不提前通知的情况下，对甲方实施特殊审核（包括现场或文件审核），以评估事件对管理体系持续符合性的影响；</w:t>
      </w:r>
      <w:r>
        <w:rPr>
          <w:rFonts w:hint="default" w:ascii="宋体" w:hAnsi="宋体" w:eastAsia="宋体" w:cs="宋体"/>
          <w:bCs/>
          <w:color w:val="auto"/>
          <w:szCs w:val="21"/>
          <w:highlight w:val="none"/>
          <w:u w:val="none"/>
          <w:lang w:val="en-US" w:eastAsia="zh-CN"/>
        </w:rPr>
        <w:br w:type="textWrapping"/>
      </w:r>
      <w:r>
        <w:rPr>
          <w:rFonts w:hint="default" w:ascii="宋体" w:hAnsi="宋体" w:eastAsia="宋体" w:cs="宋体"/>
          <w:bCs/>
          <w:color w:val="auto"/>
          <w:szCs w:val="21"/>
          <w:highlight w:val="none"/>
          <w:u w:val="none"/>
          <w:lang w:val="en-US" w:eastAsia="zh-CN"/>
        </w:rPr>
        <w:t>(c) 根据审核结论及事件严重程度，依据认证规则对认证资格作出暂停、撤销或变更证书范围的决定。</w:t>
      </w:r>
      <w:r>
        <w:rPr>
          <w:rFonts w:hint="default" w:ascii="宋体" w:hAnsi="宋体" w:eastAsia="宋体" w:cs="宋体"/>
          <w:bCs/>
          <w:color w:val="auto"/>
          <w:szCs w:val="21"/>
          <w:highlight w:val="none"/>
          <w:u w:val="none"/>
          <w:lang w:val="en-US" w:eastAsia="zh-CN"/>
        </w:rPr>
        <w:br w:type="textWrapping"/>
      </w:r>
      <w:r>
        <w:rPr>
          <w:rFonts w:hint="default" w:ascii="宋体" w:hAnsi="宋体" w:eastAsia="宋体" w:cs="宋体"/>
          <w:bCs/>
          <w:color w:val="auto"/>
          <w:szCs w:val="21"/>
          <w:highlight w:val="none"/>
          <w:u w:val="none"/>
          <w:lang w:val="en-US" w:eastAsia="zh-CN"/>
        </w:rPr>
        <w:t>因上述核查或特殊审核所产生的全部费用（包括但不限于审核费、差旅费）均由甲方承担。</w:t>
      </w:r>
    </w:p>
    <w:p w14:paraId="12E3B56D">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2.2 乙方的义务</w:t>
      </w:r>
    </w:p>
    <w:p w14:paraId="364F2514">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1) 根据认证方案在委托的认证范围内公正、客观、科学地开展认证活动。</w:t>
      </w:r>
    </w:p>
    <w:p w14:paraId="662F6BB7">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2) 向甲方及时提交审核计划，按约定时间实施审核。</w:t>
      </w:r>
    </w:p>
    <w:p w14:paraId="47AFFD24">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3）派遣适宜的审核人员，并征得甲方同意。 </w:t>
      </w:r>
    </w:p>
    <w:p w14:paraId="42A72301">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4) 通过乙方现场审核，技术部认证评审，确认甲方符合认证认可法规、认证标准、适用法律法规及乙方制定的认证规则文件等要求后，向甲方提供认证证书并告知其认证证书的使用规则。 </w:t>
      </w:r>
    </w:p>
    <w:p w14:paraId="36B74BC2">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5) 认证要求发生更改时，书面通知甲方。 </w:t>
      </w:r>
    </w:p>
    <w:p w14:paraId="772B7FDB">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6) 做出暂停、撤销认证证书的决定时，必须书面通知甲方，说明理由。</w:t>
      </w:r>
    </w:p>
    <w:p w14:paraId="4623D9E7">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3.双方责任</w:t>
      </w:r>
    </w:p>
    <w:p w14:paraId="54DCBA50">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3.1 甲方获得认证证书后，乙方受理第三方对甲方有关投诉，须通报甲方，与甲方协商解决，确属甲方责任的，由甲方负责解决。 </w:t>
      </w:r>
    </w:p>
    <w:p w14:paraId="0A137D02">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3.2  除法律法规要求外，双方均不得将对方的保密信息以任何方式泄露给第三方。</w:t>
      </w:r>
    </w:p>
    <w:p w14:paraId="69EB0DCA">
      <w:pPr>
        <w:pStyle w:val="4"/>
        <w:spacing w:line="360" w:lineRule="auto"/>
        <w:ind w:left="0" w:leftChars="0" w:right="42" w:rightChars="20" w:firstLine="422" w:firstLineChars="200"/>
        <w:rPr>
          <w:rFonts w:hint="eastAsia" w:ascii="宋体" w:hAnsi="宋体" w:eastAsia="宋体" w:cs="宋体"/>
          <w:b/>
          <w:bCs w:val="0"/>
          <w:color w:val="auto"/>
          <w:szCs w:val="21"/>
          <w:highlight w:val="none"/>
          <w:u w:val="none"/>
          <w:lang w:val="en-US" w:eastAsia="zh-CN"/>
        </w:rPr>
      </w:pPr>
      <w:r>
        <w:rPr>
          <w:rFonts w:hint="eastAsia" w:ascii="宋体" w:hAnsi="宋体" w:eastAsia="宋体" w:cs="宋体"/>
          <w:b/>
          <w:bCs w:val="0"/>
          <w:color w:val="auto"/>
          <w:szCs w:val="21"/>
          <w:highlight w:val="none"/>
          <w:u w:val="none"/>
          <w:lang w:val="en-US" w:eastAsia="zh-CN"/>
        </w:rPr>
        <w:t>四、风险</w:t>
      </w:r>
    </w:p>
    <w:p w14:paraId="3B81BED6">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1. 甲方如达不到或不能保持认证要求和条件，承担不能取得认证证书或不能保持证书的风险； </w:t>
      </w:r>
    </w:p>
    <w:p w14:paraId="6B37309F">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2. 甲方获证后可能因达不到认证时的条件或不符合乙方的规定，将承担被乙方暂停、撤销使用认证证书和认证标识的风险；暂停期内及撤销认证资格时，立即停止使用证书和所有引用认证资格的宣传，证书撤销时应立即将证书交还乙方。</w:t>
      </w:r>
    </w:p>
    <w:p w14:paraId="7738823F">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3. 甲方合同期内隐瞒重要信息、提供虚假信息可能导致被撤销证书的风险。 </w:t>
      </w:r>
    </w:p>
    <w:p w14:paraId="6E09CADD">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4. 乙方承担在认证审核活动中，由于公正性和有效性管理失控而产生的风险。</w:t>
      </w:r>
    </w:p>
    <w:p w14:paraId="714DFE27">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hAnsi="宋体" w:cs="宋体"/>
          <w:bCs/>
          <w:color w:val="auto"/>
          <w:szCs w:val="21"/>
          <w:highlight w:val="none"/>
          <w:u w:val="none"/>
          <w:lang w:val="en-US" w:eastAsia="zh-CN"/>
        </w:rPr>
      </w:pPr>
      <w:r>
        <w:rPr>
          <w:rFonts w:hint="eastAsia" w:hAnsi="宋体" w:cs="宋体"/>
          <w:bCs/>
          <w:color w:val="auto"/>
          <w:szCs w:val="21"/>
          <w:highlight w:val="none"/>
          <w:u w:val="none"/>
          <w:lang w:val="en-US" w:eastAsia="zh-CN"/>
        </w:rPr>
        <w:t>5.若甲方隐瞒认证所需的客观证据，致使乙方作出失实的认证结论；或甲方获证后违规使用认证证书及认证标识，造成乙方名誉或经济损失时，乙方将追究甲方相应责任。</w:t>
      </w:r>
    </w:p>
    <w:p w14:paraId="03C6A3EA">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hAnsi="宋体" w:cs="宋体"/>
          <w:bCs/>
          <w:color w:val="auto"/>
          <w:szCs w:val="21"/>
          <w:highlight w:val="none"/>
          <w:u w:val="none"/>
          <w:lang w:val="en-US" w:eastAsia="zh-CN"/>
        </w:rPr>
      </w:pPr>
      <w:r>
        <w:rPr>
          <w:rFonts w:hint="eastAsia" w:hAnsi="宋体" w:cs="宋体"/>
          <w:bCs/>
          <w:color w:val="auto"/>
          <w:szCs w:val="21"/>
          <w:highlight w:val="none"/>
          <w:u w:val="none"/>
          <w:lang w:val="en-US" w:eastAsia="zh-CN"/>
        </w:rPr>
        <w:t>6.认证机构责任风险</w:t>
      </w:r>
      <w:r>
        <w:rPr>
          <w:rFonts w:hint="eastAsia" w:ascii="宋体" w:hAnsi="宋体" w:eastAsia="宋体" w:cs="宋体"/>
          <w:bCs/>
          <w:color w:val="auto"/>
          <w:szCs w:val="21"/>
          <w:highlight w:val="none"/>
          <w:u w:val="none"/>
          <w:lang w:val="en-US" w:eastAsia="zh-CN"/>
        </w:rPr>
        <w:t>：因乙方批准资质被依法注销或被撤销，导致甲方相关管理体系认证证书无法有效保持的，乙方需及时告知甲方并依据相关规则作出妥善处理，并承担由此导致的甲方在本合同项下约定的相应经济损失。乙方依据本款所承担的赔偿责任，其总额上限应适用本合同第五条第3款的约定。</w:t>
      </w:r>
    </w:p>
    <w:p w14:paraId="0E85177A">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hAnsi="宋体" w:cs="宋体"/>
          <w:bCs/>
          <w:strike/>
          <w:dstrike w:val="0"/>
          <w:color w:val="auto"/>
          <w:szCs w:val="21"/>
          <w:highlight w:val="none"/>
          <w:u w:val="none"/>
          <w:lang w:val="en-US" w:eastAsia="zh-CN"/>
        </w:rPr>
      </w:pPr>
      <w:r>
        <w:rPr>
          <w:rFonts w:hint="eastAsia" w:hAnsi="宋体" w:cs="宋体"/>
          <w:bCs/>
          <w:color w:val="auto"/>
          <w:szCs w:val="21"/>
          <w:highlight w:val="none"/>
          <w:u w:val="none"/>
          <w:lang w:val="en-US" w:eastAsia="zh-CN"/>
        </w:rPr>
        <w:t>7.认证委托人及获证组织风险：甲方确认并同意，应自行负责选择具备合法资质的认证机构；若因乙方资质被撤销导致认证活动中止、证书失效等风险，原则上应由甲方承担。该风险属于认证市场固有风险，甲方在签署本合同前已充分知悉。</w:t>
      </w:r>
    </w:p>
    <w:p w14:paraId="003E8DA6">
      <w:pPr>
        <w:pStyle w:val="4"/>
        <w:spacing w:line="360" w:lineRule="auto"/>
        <w:ind w:left="0" w:leftChars="0" w:right="42" w:rightChars="20" w:firstLine="422" w:firstLineChars="200"/>
        <w:rPr>
          <w:rFonts w:hint="eastAsia" w:ascii="宋体" w:hAnsi="宋体" w:eastAsia="宋体" w:cs="宋体"/>
          <w:b/>
          <w:bCs w:val="0"/>
          <w:color w:val="auto"/>
          <w:szCs w:val="21"/>
          <w:highlight w:val="none"/>
          <w:u w:val="none"/>
          <w:lang w:val="en-US" w:eastAsia="zh-CN"/>
        </w:rPr>
      </w:pPr>
      <w:r>
        <w:rPr>
          <w:rFonts w:hint="eastAsia" w:ascii="宋体" w:hAnsi="宋体" w:eastAsia="宋体" w:cs="宋体"/>
          <w:b/>
          <w:bCs w:val="0"/>
          <w:color w:val="auto"/>
          <w:szCs w:val="21"/>
          <w:highlight w:val="none"/>
          <w:u w:val="none"/>
          <w:lang w:val="en-US" w:eastAsia="zh-CN"/>
        </w:rPr>
        <w:t>五、合同的生效与终止</w:t>
      </w:r>
    </w:p>
    <w:p w14:paraId="0A547601">
      <w:pPr>
        <w:pStyle w:val="4"/>
        <w:keepNext w:val="0"/>
        <w:keepLines w:val="0"/>
        <w:pageBreakBefore w:val="0"/>
        <w:widowControl w:val="0"/>
        <w:numPr>
          <w:ilvl w:val="0"/>
          <w:numId w:val="9"/>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本合同一式两份，甲方和乙方各执壹份，具有同等的法律效力，自双方代表签字盖章之日起生效。 </w:t>
      </w:r>
    </w:p>
    <w:p w14:paraId="530B7ADE">
      <w:pPr>
        <w:pStyle w:val="4"/>
        <w:keepNext w:val="0"/>
        <w:keepLines w:val="0"/>
        <w:pageBreakBefore w:val="0"/>
        <w:widowControl w:val="0"/>
        <w:numPr>
          <w:ilvl w:val="0"/>
          <w:numId w:val="9"/>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 xml:space="preserve">本合同有效期为三年，注销或撤销认证证书的同时，本合同书终止。 </w:t>
      </w:r>
    </w:p>
    <w:p w14:paraId="3DCE6234">
      <w:pPr>
        <w:pStyle w:val="4"/>
        <w:keepNext w:val="0"/>
        <w:keepLines w:val="0"/>
        <w:pageBreakBefore w:val="0"/>
        <w:widowControl w:val="0"/>
        <w:numPr>
          <w:ilvl w:val="0"/>
          <w:numId w:val="9"/>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在认证过程中甲方因乙方责任的任何损失，其索赔的赔偿费不得超过甲方已向乙方支付的认证费用和监督审核费用；乙方对于超出上述费用以外的金额，不承担任何损失赔偿责任。</w:t>
      </w:r>
    </w:p>
    <w:p w14:paraId="72DE37D0">
      <w:pPr>
        <w:pStyle w:val="4"/>
        <w:spacing w:line="360" w:lineRule="auto"/>
        <w:ind w:left="0" w:leftChars="0" w:right="42" w:rightChars="20" w:firstLine="422" w:firstLineChars="200"/>
        <w:rPr>
          <w:rFonts w:hint="eastAsia" w:ascii="宋体" w:hAnsi="宋体" w:eastAsia="宋体" w:cs="宋体"/>
          <w:b/>
          <w:bCs w:val="0"/>
          <w:color w:val="auto"/>
          <w:szCs w:val="21"/>
          <w:highlight w:val="none"/>
          <w:u w:val="none"/>
          <w:lang w:val="en-US" w:eastAsia="zh-CN"/>
        </w:rPr>
      </w:pPr>
      <w:r>
        <w:rPr>
          <w:rFonts w:hint="eastAsia" w:ascii="宋体" w:hAnsi="宋体" w:eastAsia="宋体" w:cs="宋体"/>
          <w:b/>
          <w:bCs w:val="0"/>
          <w:color w:val="auto"/>
          <w:szCs w:val="21"/>
          <w:highlight w:val="none"/>
          <w:u w:val="none"/>
          <w:lang w:val="en-US" w:eastAsia="zh-CN"/>
        </w:rPr>
        <w:t>六、争议处理</w:t>
      </w:r>
    </w:p>
    <w:p w14:paraId="3018A285">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1.因本合同引起的或与本合同有关的争议，双方应当协商解决。</w:t>
      </w:r>
    </w:p>
    <w:p w14:paraId="619F50C2">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2.协商不成，应将争议提交乙方所在地的仲裁委员会，按该会届时有效的仲裁规则进行仲裁。仲裁裁决是终局的，对双方均有约束力。</w:t>
      </w:r>
    </w:p>
    <w:p w14:paraId="0B0ADB75">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3.协商不成的，由乙方所在地通过诉讼方式解决。</w:t>
      </w:r>
    </w:p>
    <w:p w14:paraId="75843563">
      <w:pPr>
        <w:pStyle w:val="4"/>
        <w:spacing w:line="360" w:lineRule="auto"/>
        <w:ind w:left="0" w:leftChars="0" w:right="42" w:rightChars="20" w:firstLine="422" w:firstLineChars="200"/>
        <w:rPr>
          <w:rFonts w:hint="eastAsia" w:ascii="宋体" w:hAnsi="宋体" w:eastAsia="宋体" w:cs="宋体"/>
          <w:b/>
          <w:bCs w:val="0"/>
          <w:color w:val="auto"/>
          <w:szCs w:val="21"/>
          <w:highlight w:val="none"/>
          <w:u w:val="none"/>
          <w:lang w:val="en-US" w:eastAsia="zh-CN"/>
        </w:rPr>
      </w:pPr>
      <w:r>
        <w:rPr>
          <w:rFonts w:hint="eastAsia" w:ascii="宋体" w:hAnsi="宋体" w:eastAsia="宋体" w:cs="宋体"/>
          <w:b/>
          <w:bCs w:val="0"/>
          <w:color w:val="auto"/>
          <w:szCs w:val="21"/>
          <w:highlight w:val="none"/>
          <w:u w:val="none"/>
          <w:lang w:val="en-US" w:eastAsia="zh-CN"/>
        </w:rPr>
        <w:t>七、保密性原则</w:t>
      </w:r>
    </w:p>
    <w:p w14:paraId="7E755386">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1、乙方不得将甲方经营、生产状况及技术信息以任何方式泄漏给第三方，但下列情况除外：</w:t>
      </w:r>
    </w:p>
    <w:p w14:paraId="1B198C66">
      <w:pPr>
        <w:pStyle w:val="4"/>
        <w:keepNext w:val="0"/>
        <w:keepLines w:val="0"/>
        <w:pageBreakBefore w:val="0"/>
        <w:widowControl w:val="0"/>
        <w:numPr>
          <w:ilvl w:val="0"/>
          <w:numId w:val="10"/>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合同签署前乙方在不违反任何保密责任情况下得到的消息。</w:t>
      </w:r>
    </w:p>
    <w:p w14:paraId="29EB9F70">
      <w:pPr>
        <w:pStyle w:val="4"/>
        <w:keepNext w:val="0"/>
        <w:keepLines w:val="0"/>
        <w:pageBreakBefore w:val="0"/>
        <w:widowControl w:val="0"/>
        <w:numPr>
          <w:ilvl w:val="0"/>
          <w:numId w:val="10"/>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甲方已公开的资料。</w:t>
      </w:r>
    </w:p>
    <w:p w14:paraId="46262905">
      <w:pPr>
        <w:pStyle w:val="4"/>
        <w:keepNext w:val="0"/>
        <w:keepLines w:val="0"/>
        <w:pageBreakBefore w:val="0"/>
        <w:widowControl w:val="0"/>
        <w:numPr>
          <w:ilvl w:val="0"/>
          <w:numId w:val="10"/>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法律另有要求时。</w:t>
      </w:r>
    </w:p>
    <w:p w14:paraId="5D53D3DC">
      <w:pPr>
        <w:pStyle w:val="4"/>
        <w:keepNext w:val="0"/>
        <w:keepLines w:val="0"/>
        <w:pageBreakBefore w:val="0"/>
        <w:widowControl w:val="0"/>
        <w:numPr>
          <w:ilvl w:val="0"/>
          <w:numId w:val="10"/>
        </w:numPr>
        <w:kinsoku/>
        <w:wordWrap/>
        <w:overflowPunct/>
        <w:topLinePunct w:val="0"/>
        <w:autoSpaceDE/>
        <w:autoSpaceDN/>
        <w:bidi w:val="0"/>
        <w:adjustRightInd/>
        <w:snapToGrid/>
        <w:spacing w:line="400" w:lineRule="exact"/>
        <w:ind w:left="425" w:leftChars="0" w:right="42" w:rightChars="20" w:hanging="5" w:firstLineChars="0"/>
        <w:textAlignment w:val="auto"/>
        <w:rPr>
          <w:rFonts w:hint="eastAsia" w:ascii="宋体" w:hAnsi="宋体" w:eastAsia="宋体" w:cs="宋体"/>
          <w:bCs/>
          <w:color w:val="auto"/>
          <w:szCs w:val="21"/>
          <w:highlight w:val="none"/>
          <w:u w:val="none"/>
          <w:lang w:val="en-US" w:eastAsia="zh-CN"/>
        </w:rPr>
      </w:pPr>
      <w:r>
        <w:rPr>
          <w:rFonts w:hint="eastAsia" w:ascii="宋体" w:hAnsi="宋体" w:eastAsia="宋体" w:cs="宋体"/>
          <w:bCs/>
          <w:color w:val="auto"/>
          <w:szCs w:val="21"/>
          <w:highlight w:val="none"/>
          <w:u w:val="none"/>
          <w:lang w:val="en-US" w:eastAsia="zh-CN"/>
        </w:rPr>
        <w:t>国家主管部门或有管辖权的司法机构和仲裁机关做出判决、裁定、裁决等司法文书要求时。</w:t>
      </w:r>
    </w:p>
    <w:p w14:paraId="5CC2FB8E">
      <w:pPr>
        <w:pStyle w:val="4"/>
        <w:keepNext w:val="0"/>
        <w:keepLines w:val="0"/>
        <w:pageBreakBefore w:val="0"/>
        <w:widowControl w:val="0"/>
        <w:numPr>
          <w:ilvl w:val="0"/>
          <w:numId w:val="11"/>
        </w:numPr>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u w:val="none"/>
          <w:lang w:val="en-US" w:eastAsia="zh-CN"/>
        </w:rPr>
      </w:pPr>
      <w:r>
        <w:rPr>
          <w:rFonts w:hint="eastAsia" w:ascii="宋体" w:hAnsi="宋体" w:eastAsia="宋体" w:cs="宋体"/>
          <w:bCs/>
          <w:color w:val="auto"/>
          <w:szCs w:val="21"/>
          <w:highlight w:val="none"/>
          <w:u w:val="none"/>
          <w:lang w:val="en-US" w:eastAsia="zh-CN"/>
        </w:rPr>
        <w:t>申请组织有其他保密要求时，甲乙双方另行签署《保密协议》，此保密协议构成</w:t>
      </w:r>
      <w:r>
        <w:rPr>
          <w:rFonts w:hint="eastAsia" w:ascii="宋体" w:hAnsi="宋体" w:eastAsia="宋体" w:cs="宋体"/>
          <w:bCs/>
          <w:color w:val="auto"/>
          <w:szCs w:val="21"/>
          <w:u w:val="none"/>
          <w:lang w:val="en-US" w:eastAsia="zh-CN"/>
        </w:rPr>
        <w:t>合同附件。</w:t>
      </w:r>
    </w:p>
    <w:p w14:paraId="0F27CBAC">
      <w:pPr>
        <w:pStyle w:val="4"/>
        <w:keepNext w:val="0"/>
        <w:keepLines w:val="0"/>
        <w:pageBreakBefore w:val="0"/>
        <w:widowControl w:val="0"/>
        <w:numPr>
          <w:ilvl w:val="0"/>
          <w:numId w:val="11"/>
        </w:numPr>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u w:val="none"/>
          <w:lang w:val="en-US" w:eastAsia="zh-CN"/>
        </w:rPr>
      </w:pPr>
      <w:r>
        <w:rPr>
          <w:rFonts w:hint="eastAsia" w:ascii="宋体" w:hAnsi="宋体" w:eastAsia="宋体" w:cs="宋体"/>
          <w:bCs/>
          <w:color w:val="auto"/>
          <w:szCs w:val="21"/>
          <w:u w:val="none"/>
          <w:lang w:val="en-US" w:eastAsia="zh-CN"/>
        </w:rPr>
        <w:t>甲方如对现场审核结论、审核人员工作作风及审核的公正性和保守甲方秘密等有异议时，可向乙方提出书面申诉/投诉。</w:t>
      </w:r>
    </w:p>
    <w:p w14:paraId="754CD54F">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2" w:firstLineChars="200"/>
        <w:textAlignment w:val="auto"/>
        <w:rPr>
          <w:rFonts w:hint="eastAsia" w:ascii="宋体" w:hAnsi="宋体" w:eastAsia="宋体" w:cs="宋体"/>
          <w:b/>
          <w:bCs w:val="0"/>
          <w:color w:val="auto"/>
          <w:szCs w:val="21"/>
          <w:u w:val="none"/>
          <w:lang w:val="en-US" w:eastAsia="zh-CN"/>
        </w:rPr>
      </w:pPr>
      <w:r>
        <w:rPr>
          <w:rFonts w:hint="eastAsia" w:ascii="宋体" w:hAnsi="宋体" w:eastAsia="宋体" w:cs="宋体"/>
          <w:b/>
          <w:bCs w:val="0"/>
          <w:color w:val="auto"/>
          <w:szCs w:val="21"/>
          <w:u w:val="none"/>
          <w:lang w:val="en-US" w:eastAsia="zh-CN"/>
        </w:rPr>
        <w:t>八、合同的更改和补充</w:t>
      </w:r>
    </w:p>
    <w:p w14:paraId="4E56A2AB">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ascii="宋体" w:hAnsi="宋体" w:eastAsia="宋体" w:cs="宋体"/>
          <w:bCs/>
          <w:color w:val="auto"/>
          <w:szCs w:val="21"/>
          <w:u w:val="none"/>
          <w:lang w:val="en-US" w:eastAsia="zh-CN"/>
        </w:rPr>
      </w:pPr>
      <w:r>
        <w:rPr>
          <w:rFonts w:hint="eastAsia" w:ascii="宋体" w:hAnsi="宋体" w:eastAsia="宋体" w:cs="宋体"/>
          <w:bCs/>
          <w:color w:val="auto"/>
          <w:szCs w:val="21"/>
          <w:u w:val="none"/>
          <w:lang w:val="en-US" w:eastAsia="zh-CN"/>
        </w:rPr>
        <w:t xml:space="preserve">1. 本合同未尽事宜，甲乙双方可协商订立补充条款作为本合同的附件。 </w:t>
      </w:r>
    </w:p>
    <w:p w14:paraId="105CDEB0">
      <w:pPr>
        <w:pStyle w:val="4"/>
        <w:keepNext w:val="0"/>
        <w:keepLines w:val="0"/>
        <w:pageBreakBefore w:val="0"/>
        <w:widowControl w:val="0"/>
        <w:kinsoku/>
        <w:wordWrap/>
        <w:overflowPunct/>
        <w:topLinePunct w:val="0"/>
        <w:autoSpaceDE/>
        <w:autoSpaceDN/>
        <w:bidi w:val="0"/>
        <w:adjustRightInd/>
        <w:snapToGrid/>
        <w:spacing w:line="400" w:lineRule="exact"/>
        <w:ind w:left="0" w:leftChars="0" w:right="42" w:rightChars="20" w:firstLine="420" w:firstLineChars="200"/>
        <w:textAlignment w:val="auto"/>
        <w:rPr>
          <w:rFonts w:hint="eastAsia" w:hAnsi="宋体"/>
          <w:bCs/>
          <w:color w:val="auto"/>
          <w:szCs w:val="21"/>
          <w:u w:val="none"/>
          <w:lang w:val="en-US" w:eastAsia="zh-CN"/>
        </w:rPr>
      </w:pPr>
      <w:r>
        <w:rPr>
          <w:rFonts w:hint="eastAsia" w:ascii="宋体" w:hAnsi="宋体" w:eastAsia="宋体" w:cs="宋体"/>
          <w:bCs/>
          <w:color w:val="auto"/>
          <w:szCs w:val="21"/>
          <w:u w:val="none"/>
          <w:lang w:val="en-US" w:eastAsia="zh-CN"/>
        </w:rPr>
        <w:t>2. 在合同执行期间，若有变更或补充内容，经双方协商同意后以书面附件的形式记录，签署《合同变更补充协议》，且附件作为本合同不可分割的组成部分与本合同具有相同的法律效力。</w:t>
      </w:r>
    </w:p>
    <w:tbl>
      <w:tblPr>
        <w:tblStyle w:val="24"/>
        <w:tblpPr w:leftFromText="180" w:rightFromText="180" w:vertAnchor="text" w:horzAnchor="page" w:tblpX="780" w:tblpY="118"/>
        <w:tblOverlap w:val="never"/>
        <w:tblW w:w="10714" w:type="dxa"/>
        <w:tblInd w:w="0" w:type="dxa"/>
        <w:tblLayout w:type="autofit"/>
        <w:tblCellMar>
          <w:top w:w="0" w:type="dxa"/>
          <w:left w:w="0" w:type="dxa"/>
          <w:bottom w:w="0" w:type="dxa"/>
          <w:right w:w="0" w:type="dxa"/>
        </w:tblCellMar>
      </w:tblPr>
      <w:tblGrid>
        <w:gridCol w:w="5056"/>
        <w:gridCol w:w="5658"/>
      </w:tblGrid>
      <w:tr w14:paraId="7668A735">
        <w:tblPrEx>
          <w:tblCellMar>
            <w:top w:w="0" w:type="dxa"/>
            <w:left w:w="0" w:type="dxa"/>
            <w:bottom w:w="0" w:type="dxa"/>
            <w:right w:w="0" w:type="dxa"/>
          </w:tblCellMar>
        </w:tblPrEx>
        <w:trPr>
          <w:trHeight w:val="642" w:hRule="exact"/>
        </w:trPr>
        <w:tc>
          <w:tcPr>
            <w:tcW w:w="5056" w:type="dxa"/>
            <w:tcBorders>
              <w:top w:val="single" w:color="000000" w:sz="6" w:space="0"/>
              <w:left w:val="single" w:color="000000" w:sz="6" w:space="0"/>
              <w:bottom w:val="single" w:color="000000" w:sz="6" w:space="0"/>
              <w:right w:val="single" w:color="000000" w:sz="6" w:space="0"/>
            </w:tcBorders>
            <w:noWrap w:val="0"/>
            <w:vAlign w:val="center"/>
          </w:tcPr>
          <w:p w14:paraId="584FAF69">
            <w:pPr>
              <w:pStyle w:val="23"/>
              <w:spacing w:before="72"/>
              <w:ind w:left="101"/>
              <w:jc w:val="both"/>
              <w:rPr>
                <w:rFonts w:hint="eastAsia" w:ascii="宋体" w:hAnsi="宋体" w:eastAsia="等线" w:cs="宋体"/>
                <w:bCs/>
                <w:color w:val="auto"/>
                <w:kern w:val="2"/>
                <w:sz w:val="21"/>
                <w:szCs w:val="21"/>
                <w:u w:val="none"/>
                <w:lang w:val="en-US" w:eastAsia="zh-CN" w:bidi="ar-SA"/>
              </w:rPr>
            </w:pPr>
            <w:permStart w:id="25" w:edGrp="everyone" w:colFirst="0" w:colLast="0"/>
            <w:permStart w:id="26" w:edGrp="everyone" w:colFirst="1" w:colLast="1"/>
            <w:r>
              <w:rPr>
                <w:rFonts w:hint="eastAsia" w:ascii="宋体" w:hAnsi="宋体" w:eastAsia="等线" w:cs="宋体"/>
                <w:bCs/>
                <w:color w:val="auto"/>
                <w:kern w:val="2"/>
                <w:sz w:val="21"/>
                <w:szCs w:val="21"/>
                <w:u w:val="none"/>
                <w:lang w:val="en-US" w:eastAsia="zh-CN" w:bidi="ar-SA"/>
              </w:rPr>
              <w:t>甲方 （印章） :</w:t>
            </w:r>
          </w:p>
        </w:tc>
        <w:tc>
          <w:tcPr>
            <w:tcW w:w="5658" w:type="dxa"/>
            <w:tcBorders>
              <w:top w:val="single" w:color="000000" w:sz="6" w:space="0"/>
              <w:left w:val="single" w:color="000000" w:sz="6" w:space="0"/>
              <w:bottom w:val="single" w:color="000000" w:sz="6" w:space="0"/>
              <w:right w:val="single" w:color="000000" w:sz="6" w:space="0"/>
            </w:tcBorders>
            <w:noWrap w:val="0"/>
            <w:vAlign w:val="center"/>
          </w:tcPr>
          <w:p w14:paraId="2EB477C7">
            <w:pPr>
              <w:pStyle w:val="23"/>
              <w:spacing w:before="72"/>
              <w:ind w:left="101"/>
              <w:jc w:val="both"/>
              <w:rPr>
                <w:rFonts w:hint="eastAsia" w:ascii="宋体" w:hAnsi="宋体" w:eastAsia="等线" w:cs="宋体"/>
                <w:bCs/>
                <w:color w:val="auto"/>
                <w:kern w:val="2"/>
                <w:sz w:val="21"/>
                <w:szCs w:val="21"/>
                <w:u w:val="none"/>
                <w:lang w:val="en-US" w:eastAsia="zh-CN" w:bidi="ar-SA"/>
              </w:rPr>
            </w:pPr>
            <w:r>
              <w:rPr>
                <w:rFonts w:hint="eastAsia" w:ascii="宋体" w:hAnsi="宋体" w:eastAsia="等线" w:cs="宋体"/>
                <w:bCs/>
                <w:color w:val="auto"/>
                <w:kern w:val="2"/>
                <w:sz w:val="21"/>
                <w:szCs w:val="21"/>
                <w:u w:val="none"/>
                <w:lang w:val="en-US" w:eastAsia="zh-CN" w:bidi="ar-SA"/>
              </w:rPr>
              <w:t>乙方 （印章）：</w:t>
            </w:r>
          </w:p>
        </w:tc>
      </w:tr>
      <w:permEnd w:id="25"/>
      <w:permEnd w:id="26"/>
      <w:tr w14:paraId="4C305C7D">
        <w:tblPrEx>
          <w:tblCellMar>
            <w:top w:w="0" w:type="dxa"/>
            <w:left w:w="0" w:type="dxa"/>
            <w:bottom w:w="0" w:type="dxa"/>
            <w:right w:w="0" w:type="dxa"/>
          </w:tblCellMar>
        </w:tblPrEx>
        <w:trPr>
          <w:trHeight w:val="576" w:hRule="exact"/>
        </w:trPr>
        <w:tc>
          <w:tcPr>
            <w:tcW w:w="5056" w:type="dxa"/>
            <w:tcBorders>
              <w:top w:val="single" w:color="000000" w:sz="6" w:space="0"/>
              <w:left w:val="single" w:color="000000" w:sz="6" w:space="0"/>
              <w:bottom w:val="single" w:color="000000" w:sz="6" w:space="0"/>
              <w:right w:val="single" w:color="000000" w:sz="6" w:space="0"/>
            </w:tcBorders>
            <w:noWrap w:val="0"/>
            <w:vAlign w:val="center"/>
          </w:tcPr>
          <w:p w14:paraId="2CBE999A">
            <w:pPr>
              <w:pStyle w:val="23"/>
              <w:spacing w:before="72"/>
              <w:ind w:left="101"/>
              <w:jc w:val="both"/>
              <w:rPr>
                <w:rFonts w:hint="eastAsia" w:ascii="宋体" w:hAnsi="宋体" w:eastAsia="等线" w:cs="宋体"/>
                <w:bCs/>
                <w:color w:val="auto"/>
                <w:kern w:val="2"/>
                <w:sz w:val="21"/>
                <w:szCs w:val="21"/>
                <w:u w:val="none"/>
                <w:lang w:val="en-US" w:eastAsia="zh-CN" w:bidi="ar-SA"/>
              </w:rPr>
            </w:pPr>
            <w:permStart w:id="27" w:edGrp="everyone" w:colFirst="0" w:colLast="0"/>
            <w:permStart w:id="28" w:edGrp="everyone" w:colFirst="1" w:colLast="1"/>
            <w:r>
              <w:rPr>
                <w:rFonts w:hint="eastAsia" w:ascii="宋体" w:hAnsi="宋体" w:eastAsia="等线" w:cs="宋体"/>
                <w:bCs/>
                <w:color w:val="auto"/>
                <w:kern w:val="2"/>
                <w:sz w:val="21"/>
                <w:szCs w:val="21"/>
                <w:u w:val="none"/>
                <w:lang w:val="en-US" w:eastAsia="zh-CN" w:bidi="ar-SA"/>
              </w:rPr>
              <w:t>法定代表人或委托代理人：</w:t>
            </w:r>
          </w:p>
        </w:tc>
        <w:tc>
          <w:tcPr>
            <w:tcW w:w="5658" w:type="dxa"/>
            <w:tcBorders>
              <w:top w:val="single" w:color="000000" w:sz="6" w:space="0"/>
              <w:left w:val="single" w:color="000000" w:sz="6" w:space="0"/>
              <w:bottom w:val="single" w:color="000000" w:sz="6" w:space="0"/>
              <w:right w:val="single" w:color="000000" w:sz="6" w:space="0"/>
            </w:tcBorders>
            <w:noWrap w:val="0"/>
            <w:vAlign w:val="center"/>
          </w:tcPr>
          <w:p w14:paraId="15478736">
            <w:pPr>
              <w:pStyle w:val="23"/>
              <w:spacing w:before="72"/>
              <w:ind w:left="101"/>
              <w:jc w:val="both"/>
              <w:rPr>
                <w:rFonts w:hint="default" w:ascii="宋体" w:hAnsi="宋体" w:eastAsia="等线" w:cs="宋体"/>
                <w:bCs/>
                <w:color w:val="auto"/>
                <w:kern w:val="2"/>
                <w:sz w:val="21"/>
                <w:szCs w:val="21"/>
                <w:u w:val="none"/>
                <w:lang w:val="en-US" w:eastAsia="zh-CN" w:bidi="ar-SA"/>
              </w:rPr>
            </w:pPr>
            <w:r>
              <w:rPr>
                <w:rFonts w:hint="eastAsia" w:ascii="宋体" w:hAnsi="宋体" w:eastAsia="等线" w:cs="宋体"/>
                <w:bCs/>
                <w:color w:val="auto"/>
                <w:kern w:val="2"/>
                <w:sz w:val="21"/>
                <w:szCs w:val="21"/>
                <w:u w:val="none"/>
                <w:lang w:val="en-US" w:eastAsia="zh-CN" w:bidi="ar-SA"/>
              </w:rPr>
              <w:t>法定代表人或委托代理人：张兰红</w:t>
            </w:r>
          </w:p>
        </w:tc>
      </w:tr>
      <w:permEnd w:id="27"/>
      <w:permEnd w:id="28"/>
      <w:tr w14:paraId="2A57A5B4">
        <w:tblPrEx>
          <w:tblCellMar>
            <w:top w:w="0" w:type="dxa"/>
            <w:left w:w="0" w:type="dxa"/>
            <w:bottom w:w="0" w:type="dxa"/>
            <w:right w:w="0" w:type="dxa"/>
          </w:tblCellMar>
        </w:tblPrEx>
        <w:trPr>
          <w:trHeight w:val="665" w:hRule="exact"/>
        </w:trPr>
        <w:tc>
          <w:tcPr>
            <w:tcW w:w="5056" w:type="dxa"/>
            <w:tcBorders>
              <w:top w:val="single" w:color="000000" w:sz="6" w:space="0"/>
              <w:left w:val="single" w:color="000000" w:sz="6" w:space="0"/>
              <w:bottom w:val="single" w:color="000000" w:sz="6" w:space="0"/>
              <w:right w:val="single" w:color="000000" w:sz="6" w:space="0"/>
            </w:tcBorders>
            <w:noWrap w:val="0"/>
            <w:vAlign w:val="center"/>
          </w:tcPr>
          <w:p w14:paraId="0A1E445A">
            <w:pPr>
              <w:pStyle w:val="23"/>
              <w:spacing w:before="72"/>
              <w:ind w:left="101"/>
              <w:jc w:val="both"/>
              <w:rPr>
                <w:rFonts w:hint="eastAsia" w:ascii="宋体" w:hAnsi="宋体" w:eastAsia="等线" w:cs="宋体"/>
                <w:bCs/>
                <w:color w:val="auto"/>
                <w:kern w:val="2"/>
                <w:sz w:val="21"/>
                <w:szCs w:val="21"/>
                <w:u w:val="none"/>
                <w:lang w:val="en-US" w:eastAsia="zh-CN" w:bidi="ar-SA"/>
              </w:rPr>
            </w:pPr>
            <w:permStart w:id="29" w:edGrp="everyone" w:colFirst="0" w:colLast="0"/>
            <w:permStart w:id="30" w:edGrp="everyone" w:colFirst="1" w:colLast="1"/>
            <w:r>
              <w:rPr>
                <w:rFonts w:hint="eastAsia" w:ascii="宋体" w:hAnsi="宋体" w:eastAsia="等线" w:cs="宋体"/>
                <w:bCs/>
                <w:color w:val="auto"/>
                <w:kern w:val="2"/>
                <w:sz w:val="21"/>
                <w:szCs w:val="21"/>
                <w:u w:val="none"/>
                <w:lang w:val="en-US" w:eastAsia="zh-CN" w:bidi="ar-SA"/>
              </w:rPr>
              <w:t>地址：</w:t>
            </w:r>
          </w:p>
        </w:tc>
        <w:tc>
          <w:tcPr>
            <w:tcW w:w="5658" w:type="dxa"/>
            <w:tcBorders>
              <w:top w:val="single" w:color="000000" w:sz="6" w:space="0"/>
              <w:left w:val="single" w:color="000000" w:sz="6" w:space="0"/>
              <w:bottom w:val="single" w:color="000000" w:sz="6" w:space="0"/>
              <w:right w:val="single" w:color="000000" w:sz="6" w:space="0"/>
            </w:tcBorders>
            <w:noWrap w:val="0"/>
            <w:vAlign w:val="center"/>
          </w:tcPr>
          <w:p w14:paraId="5A8C8B2E">
            <w:pPr>
              <w:pStyle w:val="23"/>
              <w:spacing w:before="72" w:line="240" w:lineRule="auto"/>
              <w:ind w:left="101"/>
              <w:jc w:val="both"/>
              <w:rPr>
                <w:rFonts w:hint="eastAsia" w:ascii="宋体" w:hAnsi="宋体" w:eastAsia="等线" w:cs="宋体"/>
                <w:bCs/>
                <w:color w:val="auto"/>
                <w:kern w:val="2"/>
                <w:sz w:val="21"/>
                <w:szCs w:val="21"/>
                <w:u w:val="none"/>
                <w:lang w:val="en-US" w:eastAsia="zh-CN" w:bidi="ar-SA"/>
              </w:rPr>
            </w:pPr>
            <w:r>
              <w:rPr>
                <w:rFonts w:hint="eastAsia" w:ascii="宋体" w:hAnsi="宋体" w:eastAsia="等线" w:cs="宋体"/>
                <w:bCs/>
                <w:color w:val="auto"/>
                <w:kern w:val="2"/>
                <w:sz w:val="21"/>
                <w:szCs w:val="21"/>
                <w:u w:val="none"/>
                <w:lang w:val="en-US" w:eastAsia="zh-CN" w:bidi="ar-SA"/>
              </w:rPr>
              <w:t>地址：山东省青岛市黄岛区</w:t>
            </w:r>
            <w:bookmarkStart w:id="1" w:name="_GoBack"/>
            <w:r>
              <w:rPr>
                <w:rFonts w:hint="eastAsia" w:ascii="宋体" w:hAnsi="宋体" w:eastAsia="等线" w:cs="宋体"/>
                <w:bCs/>
                <w:color w:val="auto"/>
                <w:kern w:val="2"/>
                <w:sz w:val="21"/>
                <w:szCs w:val="21"/>
                <w:u w:val="none"/>
                <w:lang w:val="en-US" w:eastAsia="zh-CN" w:bidi="ar-SA"/>
              </w:rPr>
              <w:t>（</w:t>
            </w:r>
            <w:bookmarkEnd w:id="1"/>
            <w:r>
              <w:rPr>
                <w:rFonts w:hint="eastAsia" w:ascii="宋体" w:hAnsi="宋体" w:eastAsia="等线" w:cs="宋体"/>
                <w:bCs/>
                <w:color w:val="auto"/>
                <w:kern w:val="2"/>
                <w:sz w:val="21"/>
                <w:szCs w:val="21"/>
                <w:u w:val="none"/>
                <w:lang w:val="en-US" w:eastAsia="zh-CN" w:bidi="ar-SA"/>
              </w:rPr>
              <w:t>原开发区江山南路212号1208</w:t>
            </w:r>
          </w:p>
        </w:tc>
      </w:tr>
      <w:permEnd w:id="29"/>
      <w:permEnd w:id="30"/>
      <w:tr w14:paraId="4A5A384E">
        <w:tblPrEx>
          <w:tblCellMar>
            <w:top w:w="0" w:type="dxa"/>
            <w:left w:w="0" w:type="dxa"/>
            <w:bottom w:w="0" w:type="dxa"/>
            <w:right w:w="0" w:type="dxa"/>
          </w:tblCellMar>
        </w:tblPrEx>
        <w:trPr>
          <w:trHeight w:val="516" w:hRule="exact"/>
        </w:trPr>
        <w:tc>
          <w:tcPr>
            <w:tcW w:w="5056" w:type="dxa"/>
            <w:tcBorders>
              <w:top w:val="single" w:color="000000" w:sz="6" w:space="0"/>
              <w:left w:val="single" w:color="000000" w:sz="6" w:space="0"/>
              <w:bottom w:val="single" w:color="000000" w:sz="6" w:space="0"/>
              <w:right w:val="single" w:color="000000" w:sz="6" w:space="0"/>
            </w:tcBorders>
            <w:noWrap w:val="0"/>
            <w:vAlign w:val="center"/>
          </w:tcPr>
          <w:p w14:paraId="1B1FA0D7">
            <w:pPr>
              <w:pStyle w:val="23"/>
              <w:spacing w:before="72"/>
              <w:ind w:left="101"/>
              <w:jc w:val="both"/>
              <w:rPr>
                <w:rFonts w:hint="eastAsia" w:ascii="宋体" w:hAnsi="宋体" w:eastAsia="等线" w:cs="宋体"/>
                <w:bCs/>
                <w:color w:val="auto"/>
                <w:kern w:val="2"/>
                <w:sz w:val="21"/>
                <w:szCs w:val="21"/>
                <w:u w:val="none"/>
                <w:lang w:val="en-US" w:eastAsia="zh-CN" w:bidi="ar-SA"/>
              </w:rPr>
            </w:pPr>
            <w:permStart w:id="31" w:edGrp="everyone" w:colFirst="0" w:colLast="0"/>
            <w:permStart w:id="32" w:edGrp="everyone" w:colFirst="1" w:colLast="1"/>
            <w:r>
              <w:rPr>
                <w:rFonts w:hint="eastAsia" w:ascii="宋体" w:hAnsi="宋体" w:eastAsia="等线" w:cs="宋体"/>
                <w:bCs/>
                <w:color w:val="auto"/>
                <w:kern w:val="2"/>
                <w:sz w:val="21"/>
                <w:szCs w:val="21"/>
                <w:u w:val="none"/>
                <w:lang w:val="en-US" w:eastAsia="zh-CN" w:bidi="ar-SA"/>
              </w:rPr>
              <w:t>电话：</w:t>
            </w:r>
          </w:p>
        </w:tc>
        <w:tc>
          <w:tcPr>
            <w:tcW w:w="5658" w:type="dxa"/>
            <w:tcBorders>
              <w:top w:val="single" w:color="000000" w:sz="6" w:space="0"/>
              <w:left w:val="single" w:color="000000" w:sz="6" w:space="0"/>
              <w:bottom w:val="single" w:color="000000" w:sz="6" w:space="0"/>
              <w:right w:val="single" w:color="000000" w:sz="6" w:space="0"/>
            </w:tcBorders>
            <w:noWrap w:val="0"/>
            <w:vAlign w:val="center"/>
          </w:tcPr>
          <w:p w14:paraId="7ABEF8D0">
            <w:pPr>
              <w:pStyle w:val="23"/>
              <w:spacing w:before="72"/>
              <w:ind w:left="101"/>
              <w:jc w:val="both"/>
              <w:rPr>
                <w:rFonts w:hint="default" w:ascii="宋体" w:hAnsi="宋体" w:eastAsia="等线" w:cs="宋体"/>
                <w:bCs/>
                <w:color w:val="auto"/>
                <w:kern w:val="2"/>
                <w:sz w:val="21"/>
                <w:szCs w:val="21"/>
                <w:u w:val="none"/>
                <w:lang w:val="en-US" w:eastAsia="zh-CN" w:bidi="ar-SA"/>
              </w:rPr>
            </w:pPr>
            <w:r>
              <w:rPr>
                <w:rFonts w:hint="eastAsia" w:ascii="宋体" w:hAnsi="宋体" w:eastAsia="等线" w:cs="宋体"/>
                <w:bCs/>
                <w:color w:val="auto"/>
                <w:kern w:val="2"/>
                <w:sz w:val="21"/>
                <w:szCs w:val="21"/>
                <w:u w:val="none"/>
                <w:lang w:val="en-US" w:eastAsia="zh-CN" w:bidi="ar-SA"/>
              </w:rPr>
              <w:t>电话：</w:t>
            </w:r>
            <w:r>
              <w:rPr>
                <w:rFonts w:hint="eastAsia" w:ascii="宋体" w:hAnsi="宋体"/>
                <w:color w:val="auto"/>
                <w:szCs w:val="21"/>
                <w:lang w:val="en-US" w:eastAsia="zh-CN"/>
              </w:rPr>
              <w:t>13969966612</w:t>
            </w:r>
          </w:p>
        </w:tc>
      </w:tr>
      <w:permEnd w:id="31"/>
      <w:permEnd w:id="32"/>
      <w:tr w14:paraId="30C5AD9C">
        <w:tblPrEx>
          <w:tblCellMar>
            <w:top w:w="0" w:type="dxa"/>
            <w:left w:w="0" w:type="dxa"/>
            <w:bottom w:w="0" w:type="dxa"/>
            <w:right w:w="0" w:type="dxa"/>
          </w:tblCellMar>
        </w:tblPrEx>
        <w:trPr>
          <w:trHeight w:val="516" w:hRule="exact"/>
        </w:trPr>
        <w:tc>
          <w:tcPr>
            <w:tcW w:w="5056" w:type="dxa"/>
            <w:tcBorders>
              <w:top w:val="single" w:color="000000" w:sz="6" w:space="0"/>
              <w:left w:val="single" w:color="000000" w:sz="6" w:space="0"/>
              <w:bottom w:val="single" w:color="000000" w:sz="6" w:space="0"/>
              <w:right w:val="single" w:color="000000" w:sz="6" w:space="0"/>
            </w:tcBorders>
            <w:noWrap w:val="0"/>
            <w:vAlign w:val="center"/>
          </w:tcPr>
          <w:p w14:paraId="0745DD15">
            <w:pPr>
              <w:pStyle w:val="23"/>
              <w:spacing w:before="72"/>
              <w:ind w:left="101"/>
              <w:jc w:val="both"/>
              <w:rPr>
                <w:rFonts w:hint="eastAsia" w:ascii="宋体" w:hAnsi="宋体" w:eastAsia="等线" w:cs="宋体"/>
                <w:bCs/>
                <w:color w:val="auto"/>
                <w:kern w:val="2"/>
                <w:sz w:val="21"/>
                <w:szCs w:val="21"/>
                <w:u w:val="none"/>
                <w:lang w:val="en-US" w:eastAsia="zh-CN" w:bidi="ar-SA"/>
              </w:rPr>
            </w:pPr>
            <w:permStart w:id="33" w:edGrp="everyone" w:colFirst="0" w:colLast="0"/>
            <w:permStart w:id="34" w:edGrp="everyone" w:colFirst="1" w:colLast="1"/>
            <w:r>
              <w:rPr>
                <w:rFonts w:hint="eastAsia" w:ascii="宋体" w:hAnsi="宋体" w:eastAsia="等线" w:cs="宋体"/>
                <w:bCs/>
                <w:color w:val="auto"/>
                <w:kern w:val="2"/>
                <w:sz w:val="21"/>
                <w:szCs w:val="21"/>
                <w:u w:val="none"/>
                <w:lang w:val="en-US" w:eastAsia="zh-CN" w:bidi="ar-SA"/>
              </w:rPr>
              <w:t>网址：</w:t>
            </w:r>
          </w:p>
        </w:tc>
        <w:tc>
          <w:tcPr>
            <w:tcW w:w="5658" w:type="dxa"/>
            <w:tcBorders>
              <w:top w:val="single" w:color="000000" w:sz="6" w:space="0"/>
              <w:left w:val="single" w:color="000000" w:sz="6" w:space="0"/>
              <w:bottom w:val="single" w:color="000000" w:sz="6" w:space="0"/>
              <w:right w:val="single" w:color="000000" w:sz="6" w:space="0"/>
            </w:tcBorders>
            <w:noWrap w:val="0"/>
            <w:vAlign w:val="center"/>
          </w:tcPr>
          <w:p w14:paraId="5145A582">
            <w:pPr>
              <w:pStyle w:val="23"/>
              <w:spacing w:before="72" w:line="240" w:lineRule="auto"/>
              <w:ind w:left="101"/>
              <w:jc w:val="both"/>
              <w:rPr>
                <w:rFonts w:hint="eastAsia" w:ascii="宋体" w:hAnsi="宋体" w:eastAsia="等线" w:cs="宋体"/>
                <w:bCs/>
                <w:color w:val="auto"/>
                <w:kern w:val="2"/>
                <w:sz w:val="21"/>
                <w:szCs w:val="21"/>
                <w:u w:val="none"/>
                <w:lang w:val="en-US" w:eastAsia="zh-CN" w:bidi="ar-SA"/>
              </w:rPr>
            </w:pPr>
            <w:r>
              <w:rPr>
                <w:rFonts w:hint="eastAsia" w:ascii="宋体" w:hAnsi="宋体" w:eastAsia="等线" w:cs="宋体"/>
                <w:bCs/>
                <w:color w:val="auto"/>
                <w:kern w:val="2"/>
                <w:sz w:val="21"/>
                <w:szCs w:val="21"/>
                <w:u w:val="none"/>
                <w:lang w:val="en-US" w:eastAsia="zh-CN" w:bidi="ar-SA"/>
              </w:rPr>
              <w:t>网址：www.sdzlrz.cn</w:t>
            </w:r>
          </w:p>
        </w:tc>
      </w:tr>
      <w:permEnd w:id="33"/>
      <w:permEnd w:id="34"/>
      <w:tr w14:paraId="7ABB3658">
        <w:tblPrEx>
          <w:tblCellMar>
            <w:top w:w="0" w:type="dxa"/>
            <w:left w:w="0" w:type="dxa"/>
            <w:bottom w:w="0" w:type="dxa"/>
            <w:right w:w="0" w:type="dxa"/>
          </w:tblCellMar>
        </w:tblPrEx>
        <w:trPr>
          <w:trHeight w:val="625" w:hRule="exact"/>
        </w:trPr>
        <w:tc>
          <w:tcPr>
            <w:tcW w:w="5056" w:type="dxa"/>
            <w:tcBorders>
              <w:top w:val="single" w:color="000000" w:sz="6" w:space="0"/>
              <w:left w:val="single" w:color="000000" w:sz="6" w:space="0"/>
              <w:bottom w:val="single" w:color="000000" w:sz="6" w:space="0"/>
              <w:right w:val="single" w:color="000000" w:sz="6" w:space="0"/>
            </w:tcBorders>
            <w:noWrap w:val="0"/>
            <w:vAlign w:val="center"/>
          </w:tcPr>
          <w:p w14:paraId="026DC020">
            <w:pPr>
              <w:pStyle w:val="23"/>
              <w:spacing w:before="72"/>
              <w:ind w:left="101"/>
              <w:jc w:val="both"/>
              <w:rPr>
                <w:rFonts w:hint="eastAsia" w:ascii="宋体" w:hAnsi="宋体" w:eastAsia="等线" w:cs="宋体"/>
                <w:bCs/>
                <w:color w:val="auto"/>
                <w:kern w:val="2"/>
                <w:sz w:val="21"/>
                <w:szCs w:val="21"/>
                <w:u w:val="none"/>
                <w:lang w:val="en-US" w:eastAsia="zh-CN" w:bidi="ar-SA"/>
              </w:rPr>
            </w:pPr>
            <w:permStart w:id="35" w:edGrp="everyone" w:colFirst="0" w:colLast="0"/>
            <w:permStart w:id="36" w:edGrp="everyone" w:colFirst="1" w:colLast="1"/>
            <w:r>
              <w:rPr>
                <w:rFonts w:hint="eastAsia" w:ascii="宋体" w:hAnsi="宋体" w:eastAsia="等线" w:cs="宋体"/>
                <w:bCs/>
                <w:color w:val="auto"/>
                <w:kern w:val="2"/>
                <w:sz w:val="21"/>
                <w:szCs w:val="21"/>
                <w:u w:val="none"/>
                <w:lang w:val="en-US" w:eastAsia="zh-CN" w:bidi="ar-SA"/>
              </w:rPr>
              <w:t>邮箱：</w:t>
            </w:r>
          </w:p>
        </w:tc>
        <w:tc>
          <w:tcPr>
            <w:tcW w:w="5658" w:type="dxa"/>
            <w:tcBorders>
              <w:top w:val="single" w:color="000000" w:sz="6" w:space="0"/>
              <w:left w:val="single" w:color="000000" w:sz="6" w:space="0"/>
              <w:bottom w:val="single" w:color="000000" w:sz="6" w:space="0"/>
              <w:right w:val="single" w:color="000000" w:sz="6" w:space="0"/>
            </w:tcBorders>
            <w:noWrap w:val="0"/>
            <w:vAlign w:val="center"/>
          </w:tcPr>
          <w:p w14:paraId="7B4C4463">
            <w:pPr>
              <w:pStyle w:val="23"/>
              <w:spacing w:before="72" w:line="240" w:lineRule="auto"/>
              <w:ind w:left="101"/>
              <w:jc w:val="both"/>
              <w:rPr>
                <w:rFonts w:hint="eastAsia" w:ascii="宋体" w:hAnsi="宋体" w:eastAsia="等线" w:cs="宋体"/>
                <w:bCs/>
                <w:color w:val="auto"/>
                <w:kern w:val="2"/>
                <w:sz w:val="21"/>
                <w:szCs w:val="21"/>
                <w:u w:val="none"/>
                <w:lang w:val="en-US" w:eastAsia="zh-CN" w:bidi="ar-SA"/>
              </w:rPr>
            </w:pPr>
            <w:r>
              <w:rPr>
                <w:rFonts w:hint="eastAsia" w:ascii="宋体" w:hAnsi="宋体" w:eastAsia="等线" w:cs="宋体"/>
                <w:bCs/>
                <w:color w:val="auto"/>
                <w:kern w:val="2"/>
                <w:sz w:val="21"/>
                <w:szCs w:val="21"/>
                <w:u w:val="none"/>
                <w:lang w:val="en-US" w:eastAsia="zh-CN" w:bidi="ar-SA"/>
              </w:rPr>
              <w:t xml:space="preserve">邮箱： </w:t>
            </w:r>
            <w:r>
              <w:rPr>
                <w:rFonts w:hint="eastAsia" w:ascii="宋体" w:hAnsi="宋体" w:eastAsia="等线" w:cs="宋体"/>
                <w:bCs/>
                <w:color w:val="auto"/>
                <w:kern w:val="2"/>
                <w:sz w:val="21"/>
                <w:szCs w:val="21"/>
                <w:u w:val="none"/>
                <w:lang w:val="en-US" w:eastAsia="zh-CN" w:bidi="ar-SA"/>
              </w:rPr>
              <w:fldChar w:fldCharType="begin"/>
            </w:r>
            <w:r>
              <w:rPr>
                <w:rFonts w:hint="eastAsia" w:ascii="宋体" w:hAnsi="宋体" w:eastAsia="等线" w:cs="宋体"/>
                <w:bCs/>
                <w:color w:val="auto"/>
                <w:kern w:val="2"/>
                <w:sz w:val="21"/>
                <w:szCs w:val="21"/>
                <w:u w:val="none"/>
                <w:lang w:val="en-US" w:eastAsia="zh-CN" w:bidi="ar-SA"/>
              </w:rPr>
              <w:instrText xml:space="preserve"> HYPERLINK "mailto:sdzlrz2022@126.com" </w:instrText>
            </w:r>
            <w:r>
              <w:rPr>
                <w:rFonts w:hint="eastAsia" w:ascii="宋体" w:hAnsi="宋体" w:eastAsia="等线" w:cs="宋体"/>
                <w:bCs/>
                <w:color w:val="auto"/>
                <w:kern w:val="2"/>
                <w:sz w:val="21"/>
                <w:szCs w:val="21"/>
                <w:u w:val="none"/>
                <w:lang w:val="en-US" w:eastAsia="zh-CN" w:bidi="ar-SA"/>
              </w:rPr>
              <w:fldChar w:fldCharType="separate"/>
            </w:r>
            <w:r>
              <w:rPr>
                <w:rFonts w:hint="eastAsia" w:ascii="宋体" w:hAnsi="宋体" w:eastAsia="等线" w:cs="宋体"/>
                <w:bCs/>
                <w:color w:val="auto"/>
                <w:kern w:val="2"/>
                <w:sz w:val="21"/>
                <w:szCs w:val="21"/>
                <w:u w:val="none"/>
                <w:lang w:val="en-US" w:eastAsia="zh-CN" w:bidi="ar-SA"/>
              </w:rPr>
              <w:t>sdzlrz2022@126.com</w:t>
            </w:r>
            <w:r>
              <w:rPr>
                <w:rFonts w:hint="eastAsia" w:ascii="宋体" w:hAnsi="宋体" w:eastAsia="等线" w:cs="宋体"/>
                <w:bCs/>
                <w:color w:val="auto"/>
                <w:kern w:val="2"/>
                <w:sz w:val="21"/>
                <w:szCs w:val="21"/>
                <w:u w:val="none"/>
                <w:lang w:val="en-US" w:eastAsia="zh-CN" w:bidi="ar-SA"/>
              </w:rPr>
              <w:fldChar w:fldCharType="end"/>
            </w:r>
          </w:p>
        </w:tc>
      </w:tr>
      <w:permEnd w:id="35"/>
      <w:permEnd w:id="36"/>
      <w:tr w14:paraId="4108635E">
        <w:tblPrEx>
          <w:tblCellMar>
            <w:top w:w="0" w:type="dxa"/>
            <w:left w:w="0" w:type="dxa"/>
            <w:bottom w:w="0" w:type="dxa"/>
            <w:right w:w="0" w:type="dxa"/>
          </w:tblCellMar>
        </w:tblPrEx>
        <w:trPr>
          <w:trHeight w:val="572" w:hRule="exact"/>
        </w:trPr>
        <w:tc>
          <w:tcPr>
            <w:tcW w:w="5056" w:type="dxa"/>
            <w:tcBorders>
              <w:top w:val="single" w:color="000000" w:sz="6" w:space="0"/>
              <w:left w:val="single" w:color="000000" w:sz="6" w:space="0"/>
              <w:bottom w:val="single" w:color="000000" w:sz="6" w:space="0"/>
              <w:right w:val="single" w:color="000000" w:sz="6" w:space="0"/>
            </w:tcBorders>
            <w:noWrap w:val="0"/>
            <w:vAlign w:val="center"/>
          </w:tcPr>
          <w:p w14:paraId="3CA7D93F">
            <w:pPr>
              <w:pStyle w:val="23"/>
              <w:spacing w:before="72"/>
              <w:ind w:left="101"/>
              <w:jc w:val="both"/>
              <w:rPr>
                <w:rFonts w:hint="eastAsia" w:ascii="宋体" w:hAnsi="宋体" w:eastAsia="等线" w:cs="宋体"/>
                <w:bCs/>
                <w:color w:val="auto"/>
                <w:kern w:val="2"/>
                <w:sz w:val="21"/>
                <w:szCs w:val="21"/>
                <w:u w:val="none"/>
                <w:lang w:val="en-US" w:eastAsia="zh-CN" w:bidi="ar-SA"/>
              </w:rPr>
            </w:pPr>
            <w:permStart w:id="37" w:edGrp="everyone" w:colFirst="0" w:colLast="0"/>
            <w:permStart w:id="38" w:edGrp="everyone" w:colFirst="1" w:colLast="1"/>
            <w:r>
              <w:rPr>
                <w:rFonts w:hint="eastAsia" w:ascii="宋体" w:hAnsi="宋体" w:eastAsia="等线" w:cs="宋体"/>
                <w:bCs/>
                <w:color w:val="auto"/>
                <w:kern w:val="2"/>
                <w:sz w:val="21"/>
                <w:szCs w:val="21"/>
                <w:u w:val="none"/>
                <w:lang w:val="en-US" w:eastAsia="zh-CN" w:bidi="ar-SA"/>
              </w:rPr>
              <w:t>开户银行：</w:t>
            </w:r>
          </w:p>
        </w:tc>
        <w:tc>
          <w:tcPr>
            <w:tcW w:w="5658" w:type="dxa"/>
            <w:tcBorders>
              <w:top w:val="single" w:color="000000" w:sz="6" w:space="0"/>
              <w:left w:val="single" w:color="000000" w:sz="6" w:space="0"/>
              <w:bottom w:val="single" w:color="000000" w:sz="6" w:space="0"/>
              <w:right w:val="single" w:color="000000" w:sz="6" w:space="0"/>
            </w:tcBorders>
            <w:noWrap w:val="0"/>
            <w:vAlign w:val="center"/>
          </w:tcPr>
          <w:p w14:paraId="0989D155">
            <w:pPr>
              <w:pStyle w:val="23"/>
              <w:spacing w:before="72"/>
              <w:ind w:left="101"/>
              <w:jc w:val="both"/>
              <w:rPr>
                <w:rFonts w:hint="eastAsia" w:ascii="宋体" w:hAnsi="宋体" w:eastAsia="等线" w:cs="宋体"/>
                <w:bCs/>
                <w:color w:val="auto"/>
                <w:kern w:val="2"/>
                <w:sz w:val="21"/>
                <w:szCs w:val="21"/>
                <w:u w:val="none"/>
                <w:lang w:val="en-US" w:eastAsia="zh-CN" w:bidi="ar-SA"/>
              </w:rPr>
            </w:pPr>
            <w:r>
              <w:rPr>
                <w:rFonts w:hint="eastAsia" w:ascii="宋体" w:hAnsi="宋体" w:eastAsia="等线" w:cs="宋体"/>
                <w:bCs/>
                <w:color w:val="auto"/>
                <w:kern w:val="2"/>
                <w:sz w:val="21"/>
                <w:szCs w:val="21"/>
                <w:u w:val="none"/>
                <w:lang w:val="en-US" w:eastAsia="zh-CN" w:bidi="ar-SA"/>
              </w:rPr>
              <w:t>开户银行：上海浦东发展银行青岛经济技术开发区支行</w:t>
            </w:r>
          </w:p>
        </w:tc>
      </w:tr>
      <w:permEnd w:id="37"/>
      <w:permEnd w:id="38"/>
      <w:tr w14:paraId="42ED3286">
        <w:tblPrEx>
          <w:tblCellMar>
            <w:top w:w="0" w:type="dxa"/>
            <w:left w:w="0" w:type="dxa"/>
            <w:bottom w:w="0" w:type="dxa"/>
            <w:right w:w="0" w:type="dxa"/>
          </w:tblCellMar>
        </w:tblPrEx>
        <w:trPr>
          <w:trHeight w:val="666" w:hRule="exact"/>
        </w:trPr>
        <w:tc>
          <w:tcPr>
            <w:tcW w:w="5056" w:type="dxa"/>
            <w:tcBorders>
              <w:top w:val="single" w:color="000000" w:sz="6" w:space="0"/>
              <w:left w:val="single" w:color="000000" w:sz="6" w:space="0"/>
              <w:bottom w:val="single" w:color="000000" w:sz="6" w:space="0"/>
              <w:right w:val="single" w:color="000000" w:sz="6" w:space="0"/>
            </w:tcBorders>
            <w:noWrap w:val="0"/>
            <w:vAlign w:val="center"/>
          </w:tcPr>
          <w:p w14:paraId="5E4DE40A">
            <w:pPr>
              <w:pStyle w:val="23"/>
              <w:spacing w:before="72"/>
              <w:ind w:left="101"/>
              <w:jc w:val="both"/>
              <w:rPr>
                <w:rFonts w:hint="eastAsia" w:ascii="宋体" w:hAnsi="宋体" w:eastAsia="等线" w:cs="宋体"/>
                <w:bCs/>
                <w:color w:val="auto"/>
                <w:kern w:val="2"/>
                <w:sz w:val="21"/>
                <w:szCs w:val="21"/>
                <w:u w:val="none"/>
                <w:lang w:val="en-US" w:eastAsia="zh-CN" w:bidi="ar-SA"/>
              </w:rPr>
            </w:pPr>
            <w:permStart w:id="39" w:edGrp="everyone" w:colFirst="0" w:colLast="0"/>
            <w:permStart w:id="40" w:edGrp="everyone" w:colFirst="1" w:colLast="1"/>
            <w:r>
              <w:rPr>
                <w:rFonts w:hint="eastAsia" w:ascii="宋体" w:hAnsi="宋体" w:eastAsia="等线" w:cs="宋体"/>
                <w:bCs/>
                <w:color w:val="auto"/>
                <w:kern w:val="2"/>
                <w:sz w:val="21"/>
                <w:szCs w:val="21"/>
                <w:u w:val="none"/>
                <w:lang w:val="en-US" w:eastAsia="zh-CN" w:bidi="ar-SA"/>
              </w:rPr>
              <w:t>账号：</w:t>
            </w:r>
          </w:p>
        </w:tc>
        <w:tc>
          <w:tcPr>
            <w:tcW w:w="5658" w:type="dxa"/>
            <w:tcBorders>
              <w:top w:val="single" w:color="000000" w:sz="6" w:space="0"/>
              <w:left w:val="single" w:color="000000" w:sz="6" w:space="0"/>
              <w:bottom w:val="single" w:color="000000" w:sz="6" w:space="0"/>
              <w:right w:val="single" w:color="000000" w:sz="6" w:space="0"/>
            </w:tcBorders>
            <w:noWrap w:val="0"/>
            <w:vAlign w:val="center"/>
          </w:tcPr>
          <w:p w14:paraId="12174F0F">
            <w:pPr>
              <w:pStyle w:val="23"/>
              <w:spacing w:before="72"/>
              <w:ind w:left="101"/>
              <w:jc w:val="both"/>
              <w:rPr>
                <w:rFonts w:hint="eastAsia" w:ascii="宋体" w:hAnsi="宋体" w:eastAsia="等线" w:cs="宋体"/>
                <w:bCs/>
                <w:color w:val="auto"/>
                <w:kern w:val="2"/>
                <w:sz w:val="21"/>
                <w:szCs w:val="21"/>
                <w:u w:val="none"/>
                <w:lang w:val="en-US" w:eastAsia="zh-CN" w:bidi="ar-SA"/>
              </w:rPr>
            </w:pPr>
            <w:r>
              <w:rPr>
                <w:rFonts w:hint="eastAsia" w:ascii="宋体" w:hAnsi="宋体" w:eastAsia="等线" w:cs="宋体"/>
                <w:bCs/>
                <w:color w:val="auto"/>
                <w:kern w:val="2"/>
                <w:sz w:val="21"/>
                <w:szCs w:val="21"/>
                <w:u w:val="none"/>
                <w:lang w:val="en-US" w:eastAsia="zh-CN" w:bidi="ar-SA"/>
              </w:rPr>
              <w:t>账号：6904 0078 8017 00003363</w:t>
            </w:r>
          </w:p>
        </w:tc>
      </w:tr>
      <w:permEnd w:id="39"/>
      <w:permEnd w:id="40"/>
      <w:tr w14:paraId="071D1F4E">
        <w:tblPrEx>
          <w:tblCellMar>
            <w:top w:w="0" w:type="dxa"/>
            <w:left w:w="0" w:type="dxa"/>
            <w:bottom w:w="0" w:type="dxa"/>
            <w:right w:w="0" w:type="dxa"/>
          </w:tblCellMar>
        </w:tblPrEx>
        <w:trPr>
          <w:trHeight w:val="690" w:hRule="exact"/>
        </w:trPr>
        <w:tc>
          <w:tcPr>
            <w:tcW w:w="5056" w:type="dxa"/>
            <w:tcBorders>
              <w:top w:val="single" w:color="000000" w:sz="6" w:space="0"/>
              <w:left w:val="single" w:color="000000" w:sz="6" w:space="0"/>
              <w:bottom w:val="single" w:color="000000" w:sz="6" w:space="0"/>
              <w:right w:val="single" w:color="000000" w:sz="6" w:space="0"/>
            </w:tcBorders>
            <w:noWrap w:val="0"/>
            <w:vAlign w:val="center"/>
          </w:tcPr>
          <w:p w14:paraId="74F54AA4">
            <w:pPr>
              <w:pStyle w:val="23"/>
              <w:spacing w:before="72"/>
              <w:ind w:left="101"/>
              <w:jc w:val="both"/>
              <w:rPr>
                <w:rFonts w:hint="default" w:ascii="宋体" w:hAnsi="宋体" w:eastAsia="等线" w:cs="宋体"/>
                <w:bCs/>
                <w:color w:val="auto"/>
                <w:kern w:val="2"/>
                <w:sz w:val="21"/>
                <w:szCs w:val="21"/>
                <w:u w:val="none"/>
                <w:lang w:val="en-US" w:eastAsia="zh-CN" w:bidi="ar-SA"/>
              </w:rPr>
            </w:pPr>
            <w:permStart w:id="41" w:edGrp="everyone" w:colFirst="0" w:colLast="0"/>
            <w:permStart w:id="42" w:edGrp="everyone" w:colFirst="1" w:colLast="1"/>
            <w:r>
              <w:rPr>
                <w:rFonts w:hint="eastAsia" w:ascii="宋体" w:hAnsi="宋体" w:eastAsia="等线" w:cs="宋体"/>
                <w:bCs/>
                <w:color w:val="auto"/>
                <w:kern w:val="2"/>
                <w:sz w:val="21"/>
                <w:szCs w:val="21"/>
                <w:u w:val="none"/>
                <w:lang w:val="en-US" w:eastAsia="zh-CN" w:bidi="ar-SA"/>
              </w:rPr>
              <w:t>户名：</w:t>
            </w:r>
          </w:p>
        </w:tc>
        <w:tc>
          <w:tcPr>
            <w:tcW w:w="5658" w:type="dxa"/>
            <w:tcBorders>
              <w:top w:val="single" w:color="000000" w:sz="6" w:space="0"/>
              <w:left w:val="single" w:color="000000" w:sz="6" w:space="0"/>
              <w:bottom w:val="single" w:color="000000" w:sz="6" w:space="0"/>
              <w:right w:val="single" w:color="000000" w:sz="6" w:space="0"/>
            </w:tcBorders>
            <w:noWrap w:val="0"/>
            <w:vAlign w:val="center"/>
          </w:tcPr>
          <w:p w14:paraId="7F30FFF5">
            <w:pPr>
              <w:pStyle w:val="23"/>
              <w:spacing w:before="72"/>
              <w:ind w:left="101"/>
              <w:jc w:val="both"/>
              <w:rPr>
                <w:rFonts w:hint="eastAsia" w:ascii="宋体" w:hAnsi="宋体" w:eastAsia="等线" w:cs="宋体"/>
                <w:bCs/>
                <w:color w:val="auto"/>
                <w:kern w:val="2"/>
                <w:sz w:val="21"/>
                <w:szCs w:val="21"/>
                <w:u w:val="none"/>
                <w:lang w:val="en-US" w:eastAsia="zh-CN" w:bidi="ar-SA"/>
              </w:rPr>
            </w:pPr>
            <w:r>
              <w:rPr>
                <w:rFonts w:hint="eastAsia" w:ascii="宋体" w:hAnsi="宋体" w:eastAsia="等线" w:cs="宋体"/>
                <w:bCs/>
                <w:color w:val="auto"/>
                <w:kern w:val="2"/>
                <w:sz w:val="21"/>
                <w:szCs w:val="21"/>
                <w:u w:val="none"/>
                <w:lang w:val="en-US" w:eastAsia="zh-CN" w:bidi="ar-SA"/>
              </w:rPr>
              <w:t>户名：山东质联认证有限公司</w:t>
            </w:r>
          </w:p>
        </w:tc>
      </w:tr>
      <w:permEnd w:id="41"/>
      <w:permEnd w:id="42"/>
    </w:tbl>
    <w:p w14:paraId="157A4A59">
      <w:pPr>
        <w:spacing w:line="276" w:lineRule="auto"/>
        <w:rPr>
          <w:rFonts w:ascii="宋体" w:hAnsi="宋体"/>
          <w:szCs w:val="21"/>
        </w:rPr>
      </w:pPr>
    </w:p>
    <w:sectPr>
      <w:headerReference r:id="rId3" w:type="default"/>
      <w:footerReference r:id="rId4" w:type="default"/>
      <w:footerReference r:id="rId5" w:type="even"/>
      <w:type w:val="nextColumn"/>
      <w:pgSz w:w="11906" w:h="16838"/>
      <w:pgMar w:top="1440" w:right="1077" w:bottom="1134" w:left="1077" w:header="885" w:footer="590"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D385B0">
    <w:pPr>
      <w:pStyle w:val="7"/>
      <w:jc w:val="center"/>
    </w:pPr>
    <w:r>
      <w:rPr>
        <w:sz w:val="18"/>
      </w:rPr>
      <w:pict>
        <v:shape id="文本框 1" o:spid="_x0000_s4099" o:spt="202" type="#_x0000_t202" style="position:absolute;left:0pt;margin-left:195.75pt;margin-top:1.5pt;height:144pt;width:144pt;mso-position-horizontal-relative:margin;mso-wrap-style:none;z-index:251661312;mso-width-relative:page;mso-height-relative:page;" filled="f" stroked="f" coordsize="21600,21600" o:gfxdata="UEsDBAoAAAAAAIdO4kAAAAAAAAAAAAAAAAAEAAAAZHJzL1BLAwQUAAAACACHTuJABz3Y0NYAAAAJ&#10;AQAADwAAAGRycy9kb3ducmV2LnhtbE2PzU7DMBCE70i8g7VI3KidFkoT4lSiIhyRaDhwdONtEvBP&#10;ZLtpeHuWE73taEaz35Tb2Ro2YYiDdxKyhQCGrvV6cJ2Ej6a+2wCLSTmtjHco4QcjbKvrq1IV2p/d&#10;O0771DEqcbFQEvqUxoLz2PZoVVz4ER15Rx+sSiRDx3VQZyq3hi+FWHOrBkcfejXirsf2e3+yEnZ1&#10;04QJYzCf+Fqvvt6e7/FllvL2JhNPwBLO6T8Mf/iEDhUxHfzJ6ciMhFWePVCUDppE/voxJ32QsMwz&#10;Abwq+eWC6hdQSwMEFAAAAAgAh07iQGuF+fsxAgAAYQQAAA4AAABkcnMvZTJvRG9jLnhtbK1UzY7T&#10;MBC+I/EOlu80aRGrKmq6KlsVIVXsSgVxdh2nieQ/2W6T8gDwBpy4cOe5+hx8zk8XLRz2wMUZe8bf&#10;zPfNOIvbVklyEs7XRud0OkkpEZqbotaHnH76uHk1p8QHpgsmjRY5PQtPb5cvXywam4mZqYwshCMA&#10;0T5rbE6rEGyWJJ5XQjE/MVZoOEvjFAvYukNSONYAXclklqY3SWNcYZ3hwnucrnsnHRDdcwBNWdZc&#10;rA0/KqFDj+qEZAGUfFVbT5ddtWUpeLgvSy8CkTkF09CtSAJ7H9dkuWDZwTFb1XwogT2nhCecFKs1&#10;kl6h1iwwcnT1X1Cq5s54U4YJNyrpiXSKgMU0faLNrmJWdFwgtbdX0f3/g+UfTg+O1AUmgRLNFBp+&#10;+f7t8uPX5edXMo3yNNZniNpZxIX2rWlj6HDucRhZt6VT8Qs+BH6Ie76KK9pAeLw0n83nKVwcvnED&#10;nOTxunU+vBNGkWjk1KF7najstPWhDx1DYjZtNrWUOGeZ1KTJ6c3rN2l34eoBuNTIEUn0xUYrtPt2&#10;YLA3xRnEnOknw1u+qZF8y3x4YA6jgILxWMI9llIaJDGDRUll3Jd/ncd4dAheShqMVk41XhIl8r1G&#10;5wAYRsONxn409FHdGcwquoFaOhMXXJCjWTqjPuMFrWIOuJjmyJTTMJp3oR9vvEAuVqsu6Ghdfaj6&#10;C5g7y8JW7yyPaaJ63q6OAWJ2GkeBelUG3TB5XZeGVxJH+899F/X4Z1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c92NDWAAAACQEAAA8AAAAAAAAAAQAgAAAAIgAAAGRycy9kb3ducmV2LnhtbFBL&#10;AQIUABQAAAAIAIdO4kBrhfn7MQIAAGEEAAAOAAAAAAAAAAEAIAAAACUBAABkcnMvZTJvRG9jLnht&#10;bFBLBQYAAAAABgAGAFkBAADIBQAAAAA=&#10;">
          <v:path/>
          <v:fill on="f" focussize="0,0"/>
          <v:stroke on="f" weight="0.5pt"/>
          <v:imagedata o:title=""/>
          <o:lock v:ext="edit" aspectratio="f"/>
          <v:textbox inset="0mm,0mm,0mm,0mm" style="mso-fit-shape-to-text:t;">
            <w:txbxContent>
              <w:p w14:paraId="43AD93B8">
                <w:pPr>
                  <w:pStyle w:val="7"/>
                  <w:jc w:val="both"/>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v:textbox>
        </v:shape>
      </w:pict>
    </w:r>
  </w:p>
  <w:p w14:paraId="354DDB15">
    <w:pPr>
      <w:pStyle w:val="7"/>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DE3912">
    <w:pPr>
      <w:pStyle w:val="7"/>
      <w:framePr w:wrap="around" w:vAnchor="text" w:hAnchor="margin" w:xAlign="center" w:y="1"/>
      <w:rPr>
        <w:rStyle w:val="14"/>
      </w:rPr>
    </w:pPr>
    <w:r>
      <w:fldChar w:fldCharType="begin"/>
    </w:r>
    <w:r>
      <w:rPr>
        <w:rStyle w:val="14"/>
      </w:rPr>
      <w:instrText xml:space="preserve">PAGE  </w:instrText>
    </w:r>
    <w:r>
      <w:fldChar w:fldCharType="end"/>
    </w:r>
  </w:p>
  <w:p w14:paraId="4A9003C2">
    <w:pPr>
      <w:pStyle w:val="7"/>
    </w:pPr>
  </w:p>
  <w:p w14:paraId="1F2D25CE"/>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8EB2D">
    <w:pPr>
      <w:pStyle w:val="8"/>
      <w:pBdr>
        <w:bottom w:val="none" w:color="auto" w:sz="0" w:space="1"/>
      </w:pBdr>
      <w:tabs>
        <w:tab w:val="left" w:pos="1815"/>
        <w:tab w:val="center" w:pos="4993"/>
      </w:tabs>
      <w:jc w:val="left"/>
      <w:rPr>
        <w:rFonts w:hint="default" w:ascii="仿宋_GB2312" w:hAnsi="Times New Roman" w:eastAsia="仿宋_GB2312" w:cs="Times New Roman"/>
        <w:sz w:val="21"/>
        <w:szCs w:val="21"/>
        <w:u w:val="single"/>
        <w:lang w:val="en-US" w:eastAsia="zh-CN"/>
      </w:rPr>
    </w:pPr>
    <w:r>
      <w:rPr>
        <w:rFonts w:hint="eastAsia"/>
        <w:u w:val="single"/>
        <w:lang w:eastAsia="zh-CN"/>
      </w:rPr>
      <w:pict>
        <v:shape id="图片 1" o:spid="_x0000_s4097" o:spt="75" alt="309e5d0dafa6a05fa6c30cde688bb4f" type="#_x0000_t75" style="position:absolute;left:0pt;margin-left:-18.85pt;margin-top:-23.3pt;height:38.3pt;width:38.85pt;z-index:-251656192;mso-width-relative:page;mso-height-relative:page;" filled="f" o:preferrelative="t" stroked="f" coordsize="21600,21600">
          <v:path/>
          <v:fill on="f" focussize="0,0"/>
          <v:stroke on="f"/>
          <v:imagedata r:id="rId1" o:title="309e5d0dafa6a05fa6c30cde688bb4f"/>
          <o:lock v:ext="edit" aspectratio="t"/>
        </v:shape>
      </w:pict>
    </w:r>
    <w:r>
      <w:rPr>
        <w:u w:val="single"/>
      </w:rPr>
      <w:pict>
        <v:shape id="WordPictureWatermark55771" o:spid="_x0000_s4098" o:spt="75" alt="3b78eddde3861e3a139fc01737a418b" type="#_x0000_t75" style="position:absolute;left:0pt;height:414.2pt;width:415.3pt;mso-position-horizontal:center;mso-position-horizontal-relative:margin;mso-position-vertical:center;mso-position-vertical-relative:margin;z-index:-251657216;mso-width-relative:page;mso-height-relative:page;" filled="f" o:preferrelative="t" stroked="f" coordsize="21600,21600">
          <v:path/>
          <v:fill on="f" focussize="0,0"/>
          <v:stroke on="f"/>
          <v:imagedata r:id="rId2" gain="19660f" blacklevel="22936f" o:title="3b78eddde3861e3a139fc01737a418b"/>
          <o:lock v:ext="edit" aspectratio="t"/>
        </v:shape>
      </w:pict>
    </w:r>
    <w:r>
      <w:rPr>
        <w:rFonts w:hint="eastAsia"/>
        <w:u w:val="single"/>
      </w:rPr>
      <w:t xml:space="preserve">    </w:t>
    </w:r>
    <w:r>
      <w:rPr>
        <w:rFonts w:hint="eastAsia" w:ascii="仿宋_GB2312" w:eastAsia="仿宋_GB2312"/>
        <w:sz w:val="21"/>
        <w:szCs w:val="21"/>
        <w:u w:val="single"/>
        <w:lang w:val="en-US" w:eastAsia="zh-CN"/>
      </w:rPr>
      <w:t xml:space="preserve"> </w:t>
    </w:r>
    <w:r>
      <w:rPr>
        <w:rFonts w:hint="eastAsia" w:ascii="微软雅黑" w:hAnsi="微软雅黑" w:eastAsia="微软雅黑" w:cs="微软雅黑"/>
        <w:sz w:val="21"/>
        <w:szCs w:val="21"/>
        <w:u w:val="single"/>
        <w:lang w:val="en-US" w:eastAsia="zh-CN"/>
      </w:rPr>
      <w:t>山东质联认证有限公司</w:t>
    </w:r>
    <w:r>
      <w:rPr>
        <w:rFonts w:hint="eastAsia" w:ascii="微软雅黑" w:hAnsi="微软雅黑" w:eastAsia="微软雅黑" w:cs="微软雅黑"/>
        <w:sz w:val="21"/>
        <w:szCs w:val="21"/>
        <w:u w:val="single"/>
      </w:rPr>
      <w:t xml:space="preserve">   </w:t>
    </w:r>
    <w:r>
      <w:rPr>
        <w:rFonts w:hint="eastAsia" w:ascii="微软雅黑" w:hAnsi="微软雅黑" w:eastAsia="微软雅黑" w:cs="微软雅黑"/>
        <w:b w:val="0"/>
        <w:bCs/>
        <w:sz w:val="18"/>
        <w:szCs w:val="18"/>
        <w:u w:val="single"/>
        <w:lang w:val="en-US" w:eastAsia="zh-CN"/>
      </w:rPr>
      <w:t xml:space="preserve">  </w:t>
    </w:r>
    <w:r>
      <w:rPr>
        <w:rFonts w:hint="eastAsia"/>
        <w:u w:val="single"/>
      </w:rPr>
      <w:t xml:space="preserve">                                          </w:t>
    </w:r>
    <w:r>
      <w:rPr>
        <w:rFonts w:hint="eastAsia" w:ascii="仿宋_GB2312" w:hAnsi="Times New Roman" w:eastAsia="仿宋_GB2312" w:cs="Times New Roman"/>
        <w:sz w:val="21"/>
        <w:szCs w:val="21"/>
        <w:u w:val="single"/>
        <w:lang w:val="en-US" w:eastAsia="zh-CN"/>
      </w:rPr>
      <w:t xml:space="preserve">  文件编号：CX-12-JL06B/</w:t>
    </w:r>
    <w:r>
      <w:rPr>
        <w:rFonts w:hint="eastAsia" w:ascii="仿宋_GB2312" w:eastAsia="仿宋_GB2312" w:cs="Times New Roman"/>
        <w:sz w:val="21"/>
        <w:szCs w:val="21"/>
        <w:u w:val="single"/>
        <w:lang w:val="en-US" w:eastAsia="zh-CN"/>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BD35A3"/>
    <w:multiLevelType w:val="singleLevel"/>
    <w:tmpl w:val="89BD35A3"/>
    <w:lvl w:ilvl="0" w:tentative="0">
      <w:start w:val="1"/>
      <w:numFmt w:val="lowerLetter"/>
      <w:suff w:val="nothing"/>
      <w:lvlText w:val="%1."/>
      <w:lvlJc w:val="left"/>
      <w:pPr>
        <w:ind w:left="425" w:hanging="425"/>
      </w:pPr>
      <w:rPr>
        <w:rFonts w:hint="default"/>
      </w:rPr>
    </w:lvl>
  </w:abstractNum>
  <w:abstractNum w:abstractNumId="1">
    <w:nsid w:val="8D35A479"/>
    <w:multiLevelType w:val="singleLevel"/>
    <w:tmpl w:val="8D35A479"/>
    <w:lvl w:ilvl="0" w:tentative="0">
      <w:start w:val="1"/>
      <w:numFmt w:val="chineseCounting"/>
      <w:suff w:val="nothing"/>
      <w:lvlText w:val="%1、"/>
      <w:lvlJc w:val="left"/>
      <w:rPr>
        <w:rFonts w:hint="eastAsia"/>
      </w:rPr>
    </w:lvl>
  </w:abstractNum>
  <w:abstractNum w:abstractNumId="2">
    <w:nsid w:val="986E932B"/>
    <w:multiLevelType w:val="multilevel"/>
    <w:tmpl w:val="986E932B"/>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
    <w:nsid w:val="B316665C"/>
    <w:multiLevelType w:val="singleLevel"/>
    <w:tmpl w:val="B316665C"/>
    <w:lvl w:ilvl="0" w:tentative="0">
      <w:start w:val="1"/>
      <w:numFmt w:val="lowerLetter"/>
      <w:suff w:val="space"/>
      <w:lvlText w:val="%1)"/>
      <w:lvlJc w:val="left"/>
    </w:lvl>
  </w:abstractNum>
  <w:abstractNum w:abstractNumId="4">
    <w:nsid w:val="B9071141"/>
    <w:multiLevelType w:val="singleLevel"/>
    <w:tmpl w:val="B9071141"/>
    <w:lvl w:ilvl="0" w:tentative="0">
      <w:start w:val="1"/>
      <w:numFmt w:val="lowerLetter"/>
      <w:suff w:val="nothing"/>
      <w:lvlText w:val="%1."/>
      <w:lvlJc w:val="left"/>
      <w:pPr>
        <w:ind w:left="425" w:hanging="425"/>
      </w:pPr>
      <w:rPr>
        <w:rFonts w:hint="default"/>
      </w:rPr>
    </w:lvl>
  </w:abstractNum>
  <w:abstractNum w:abstractNumId="5">
    <w:nsid w:val="F97F522A"/>
    <w:multiLevelType w:val="singleLevel"/>
    <w:tmpl w:val="F97F522A"/>
    <w:lvl w:ilvl="0" w:tentative="0">
      <w:start w:val="1"/>
      <w:numFmt w:val="lowerLetter"/>
      <w:lvlText w:val="%1."/>
      <w:lvlJc w:val="left"/>
      <w:pPr>
        <w:ind w:left="425" w:hanging="425"/>
      </w:pPr>
      <w:rPr>
        <w:rFonts w:hint="default"/>
      </w:rPr>
    </w:lvl>
  </w:abstractNum>
  <w:abstractNum w:abstractNumId="6">
    <w:nsid w:val="0D3BE86C"/>
    <w:multiLevelType w:val="singleLevel"/>
    <w:tmpl w:val="0D3BE86C"/>
    <w:lvl w:ilvl="0" w:tentative="0">
      <w:start w:val="1"/>
      <w:numFmt w:val="decimal"/>
      <w:suff w:val="nothing"/>
      <w:lvlText w:val="%1)"/>
      <w:lvlJc w:val="left"/>
      <w:pPr>
        <w:ind w:left="425" w:hanging="425"/>
      </w:pPr>
      <w:rPr>
        <w:rFonts w:hint="default"/>
      </w:rPr>
    </w:lvl>
  </w:abstractNum>
  <w:abstractNum w:abstractNumId="7">
    <w:nsid w:val="1BC6AFA3"/>
    <w:multiLevelType w:val="singleLevel"/>
    <w:tmpl w:val="1BC6AFA3"/>
    <w:lvl w:ilvl="0" w:tentative="0">
      <w:start w:val="1"/>
      <w:numFmt w:val="lowerLetter"/>
      <w:lvlText w:val="%1."/>
      <w:lvlJc w:val="left"/>
      <w:pPr>
        <w:ind w:left="425" w:hanging="425"/>
      </w:pPr>
      <w:rPr>
        <w:rFonts w:hint="default"/>
      </w:rPr>
    </w:lvl>
  </w:abstractNum>
  <w:abstractNum w:abstractNumId="8">
    <w:nsid w:val="46125B74"/>
    <w:multiLevelType w:val="singleLevel"/>
    <w:tmpl w:val="46125B74"/>
    <w:lvl w:ilvl="0" w:tentative="0">
      <w:start w:val="8"/>
      <w:numFmt w:val="decimal"/>
      <w:suff w:val="nothing"/>
      <w:lvlText w:val="%1）"/>
      <w:lvlJc w:val="left"/>
    </w:lvl>
  </w:abstractNum>
  <w:abstractNum w:abstractNumId="9">
    <w:nsid w:val="5C98222E"/>
    <w:multiLevelType w:val="singleLevel"/>
    <w:tmpl w:val="5C98222E"/>
    <w:lvl w:ilvl="0" w:tentative="0">
      <w:start w:val="1"/>
      <w:numFmt w:val="decimal"/>
      <w:suff w:val="nothing"/>
      <w:lvlText w:val="%1."/>
      <w:lvlJc w:val="left"/>
      <w:pPr>
        <w:ind w:left="425" w:hanging="425"/>
      </w:pPr>
      <w:rPr>
        <w:rFonts w:hint="default"/>
      </w:rPr>
    </w:lvl>
  </w:abstractNum>
  <w:abstractNum w:abstractNumId="10">
    <w:nsid w:val="7C1CCDFD"/>
    <w:multiLevelType w:val="singleLevel"/>
    <w:tmpl w:val="7C1CCDFD"/>
    <w:lvl w:ilvl="0" w:tentative="0">
      <w:start w:val="2"/>
      <w:numFmt w:val="decimal"/>
      <w:suff w:val="nothing"/>
      <w:lvlText w:val="%1、"/>
      <w:lvlJc w:val="left"/>
    </w:lvl>
  </w:abstractNum>
  <w:num w:numId="1">
    <w:abstractNumId w:val="1"/>
  </w:num>
  <w:num w:numId="2">
    <w:abstractNumId w:val="2"/>
  </w:num>
  <w:num w:numId="3">
    <w:abstractNumId w:val="0"/>
  </w:num>
  <w:num w:numId="4">
    <w:abstractNumId w:val="8"/>
  </w:num>
  <w:num w:numId="5">
    <w:abstractNumId w:val="4"/>
  </w:num>
  <w:num w:numId="6">
    <w:abstractNumId w:val="5"/>
  </w:num>
  <w:num w:numId="7">
    <w:abstractNumId w:val="3"/>
  </w:num>
  <w:num w:numId="8">
    <w:abstractNumId w:val="6"/>
  </w:num>
  <w:num w:numId="9">
    <w:abstractNumId w:val="9"/>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hyphenationZone w:val="360"/>
  <w:drawingGridHorizontalSpacing w:val="105"/>
  <w:drawingGridVerticalSpacing w:val="156"/>
  <w:displayHorizontalDrawingGridEvery w:val="1"/>
  <w:displayVerticalDrawingGridEvery w:val="1"/>
  <w:noPunctuationKerning w:val="1"/>
  <w:characterSpacingControl w:val="doNotCompress"/>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DY0NTc5NTJmYzQxMTk5ZWM0NDljNjVkZTBjNTI1MTQifQ=="/>
  </w:docVars>
  <w:rsids>
    <w:rsidRoot w:val="00054F81"/>
    <w:rsid w:val="00000F4B"/>
    <w:rsid w:val="00001C2E"/>
    <w:rsid w:val="00001DF8"/>
    <w:rsid w:val="0000289D"/>
    <w:rsid w:val="0001151A"/>
    <w:rsid w:val="0001625C"/>
    <w:rsid w:val="000171CE"/>
    <w:rsid w:val="000202A8"/>
    <w:rsid w:val="00022EAD"/>
    <w:rsid w:val="00022F73"/>
    <w:rsid w:val="00027231"/>
    <w:rsid w:val="0003214F"/>
    <w:rsid w:val="00036670"/>
    <w:rsid w:val="00037C4B"/>
    <w:rsid w:val="0004418B"/>
    <w:rsid w:val="000445AB"/>
    <w:rsid w:val="0004647B"/>
    <w:rsid w:val="00051EEF"/>
    <w:rsid w:val="00054CE9"/>
    <w:rsid w:val="00054F81"/>
    <w:rsid w:val="000554D9"/>
    <w:rsid w:val="00055E57"/>
    <w:rsid w:val="000668A0"/>
    <w:rsid w:val="00070525"/>
    <w:rsid w:val="00071929"/>
    <w:rsid w:val="00074854"/>
    <w:rsid w:val="00077C88"/>
    <w:rsid w:val="00077E29"/>
    <w:rsid w:val="000810A0"/>
    <w:rsid w:val="00084EBD"/>
    <w:rsid w:val="00091F8F"/>
    <w:rsid w:val="0009282C"/>
    <w:rsid w:val="00092932"/>
    <w:rsid w:val="000A0E29"/>
    <w:rsid w:val="000A5586"/>
    <w:rsid w:val="000B05BB"/>
    <w:rsid w:val="000B2010"/>
    <w:rsid w:val="000B2725"/>
    <w:rsid w:val="000B781F"/>
    <w:rsid w:val="000D6B65"/>
    <w:rsid w:val="000E6BD4"/>
    <w:rsid w:val="000F3604"/>
    <w:rsid w:val="000F3D46"/>
    <w:rsid w:val="00103752"/>
    <w:rsid w:val="001070D0"/>
    <w:rsid w:val="0010760E"/>
    <w:rsid w:val="00111FD4"/>
    <w:rsid w:val="0011282C"/>
    <w:rsid w:val="00121EF2"/>
    <w:rsid w:val="00131BB5"/>
    <w:rsid w:val="00131F86"/>
    <w:rsid w:val="00132349"/>
    <w:rsid w:val="001329FB"/>
    <w:rsid w:val="001356BA"/>
    <w:rsid w:val="00141068"/>
    <w:rsid w:val="00141113"/>
    <w:rsid w:val="0014339C"/>
    <w:rsid w:val="001516EF"/>
    <w:rsid w:val="00161269"/>
    <w:rsid w:val="00162D33"/>
    <w:rsid w:val="0016789C"/>
    <w:rsid w:val="00171974"/>
    <w:rsid w:val="00176540"/>
    <w:rsid w:val="00180196"/>
    <w:rsid w:val="00182D1E"/>
    <w:rsid w:val="00183B85"/>
    <w:rsid w:val="001850B0"/>
    <w:rsid w:val="00185DFE"/>
    <w:rsid w:val="001A0090"/>
    <w:rsid w:val="001A149C"/>
    <w:rsid w:val="001A33FF"/>
    <w:rsid w:val="001A41CB"/>
    <w:rsid w:val="001A7584"/>
    <w:rsid w:val="001B3E6D"/>
    <w:rsid w:val="001B7C91"/>
    <w:rsid w:val="001C128C"/>
    <w:rsid w:val="001C44C9"/>
    <w:rsid w:val="001C489D"/>
    <w:rsid w:val="001D0508"/>
    <w:rsid w:val="001D0E6C"/>
    <w:rsid w:val="001D311F"/>
    <w:rsid w:val="001D4327"/>
    <w:rsid w:val="001D540A"/>
    <w:rsid w:val="001E1E9B"/>
    <w:rsid w:val="001E4004"/>
    <w:rsid w:val="001E402B"/>
    <w:rsid w:val="001E60E3"/>
    <w:rsid w:val="001E6770"/>
    <w:rsid w:val="001F5FA7"/>
    <w:rsid w:val="002020F4"/>
    <w:rsid w:val="002113FD"/>
    <w:rsid w:val="00230D9C"/>
    <w:rsid w:val="00231DEE"/>
    <w:rsid w:val="00232864"/>
    <w:rsid w:val="00245FFF"/>
    <w:rsid w:val="002468C2"/>
    <w:rsid w:val="00247183"/>
    <w:rsid w:val="0025007C"/>
    <w:rsid w:val="002578A9"/>
    <w:rsid w:val="0026158D"/>
    <w:rsid w:val="002668F7"/>
    <w:rsid w:val="0027343C"/>
    <w:rsid w:val="0027461D"/>
    <w:rsid w:val="002750FA"/>
    <w:rsid w:val="00282F15"/>
    <w:rsid w:val="002A0E01"/>
    <w:rsid w:val="002A4FE5"/>
    <w:rsid w:val="002B1F5A"/>
    <w:rsid w:val="002B598E"/>
    <w:rsid w:val="002B7100"/>
    <w:rsid w:val="002D15F0"/>
    <w:rsid w:val="002D19B4"/>
    <w:rsid w:val="002D3819"/>
    <w:rsid w:val="002D6ABC"/>
    <w:rsid w:val="002D782F"/>
    <w:rsid w:val="002E0D2D"/>
    <w:rsid w:val="002E3848"/>
    <w:rsid w:val="002E70A9"/>
    <w:rsid w:val="002F0938"/>
    <w:rsid w:val="002F1888"/>
    <w:rsid w:val="002F5650"/>
    <w:rsid w:val="0030481E"/>
    <w:rsid w:val="00305703"/>
    <w:rsid w:val="00311A01"/>
    <w:rsid w:val="0031306C"/>
    <w:rsid w:val="00314044"/>
    <w:rsid w:val="0031467C"/>
    <w:rsid w:val="00316C52"/>
    <w:rsid w:val="00317305"/>
    <w:rsid w:val="00323A14"/>
    <w:rsid w:val="00323FA3"/>
    <w:rsid w:val="00324F5F"/>
    <w:rsid w:val="00330013"/>
    <w:rsid w:val="003336C7"/>
    <w:rsid w:val="00335892"/>
    <w:rsid w:val="00343EB2"/>
    <w:rsid w:val="00350EB5"/>
    <w:rsid w:val="00361197"/>
    <w:rsid w:val="00373DC6"/>
    <w:rsid w:val="00375953"/>
    <w:rsid w:val="00380DA2"/>
    <w:rsid w:val="00381933"/>
    <w:rsid w:val="00387112"/>
    <w:rsid w:val="003927BA"/>
    <w:rsid w:val="003970F7"/>
    <w:rsid w:val="003A2704"/>
    <w:rsid w:val="003A3946"/>
    <w:rsid w:val="003A4188"/>
    <w:rsid w:val="003B437F"/>
    <w:rsid w:val="003B5ADE"/>
    <w:rsid w:val="003B6A83"/>
    <w:rsid w:val="003B7F58"/>
    <w:rsid w:val="003C0542"/>
    <w:rsid w:val="003C0B97"/>
    <w:rsid w:val="003C103B"/>
    <w:rsid w:val="003C5F47"/>
    <w:rsid w:val="003C7B99"/>
    <w:rsid w:val="003D1752"/>
    <w:rsid w:val="003D2264"/>
    <w:rsid w:val="003D2E19"/>
    <w:rsid w:val="003E05CD"/>
    <w:rsid w:val="003E20D6"/>
    <w:rsid w:val="003F7BCE"/>
    <w:rsid w:val="00401911"/>
    <w:rsid w:val="00407C30"/>
    <w:rsid w:val="0041359F"/>
    <w:rsid w:val="004158C4"/>
    <w:rsid w:val="0043554D"/>
    <w:rsid w:val="004374EE"/>
    <w:rsid w:val="00441B5B"/>
    <w:rsid w:val="00442D52"/>
    <w:rsid w:val="00451D41"/>
    <w:rsid w:val="00452932"/>
    <w:rsid w:val="00454019"/>
    <w:rsid w:val="00455C8C"/>
    <w:rsid w:val="004608BD"/>
    <w:rsid w:val="00471772"/>
    <w:rsid w:val="004721E9"/>
    <w:rsid w:val="004731D1"/>
    <w:rsid w:val="0047463A"/>
    <w:rsid w:val="00476000"/>
    <w:rsid w:val="00484958"/>
    <w:rsid w:val="00490277"/>
    <w:rsid w:val="00491AB9"/>
    <w:rsid w:val="00492EDB"/>
    <w:rsid w:val="00497097"/>
    <w:rsid w:val="004A0250"/>
    <w:rsid w:val="004A1B22"/>
    <w:rsid w:val="004A56A1"/>
    <w:rsid w:val="004A6D96"/>
    <w:rsid w:val="004B0C0D"/>
    <w:rsid w:val="004B3C8B"/>
    <w:rsid w:val="004B46B5"/>
    <w:rsid w:val="004B6E9F"/>
    <w:rsid w:val="004D1541"/>
    <w:rsid w:val="004D32FF"/>
    <w:rsid w:val="004D352F"/>
    <w:rsid w:val="004D55B4"/>
    <w:rsid w:val="004D6610"/>
    <w:rsid w:val="004E2755"/>
    <w:rsid w:val="004E3971"/>
    <w:rsid w:val="004E7F6C"/>
    <w:rsid w:val="004F0DB1"/>
    <w:rsid w:val="004F2709"/>
    <w:rsid w:val="004F7852"/>
    <w:rsid w:val="00500420"/>
    <w:rsid w:val="00501A49"/>
    <w:rsid w:val="00507A39"/>
    <w:rsid w:val="00507FA0"/>
    <w:rsid w:val="00511802"/>
    <w:rsid w:val="005126BA"/>
    <w:rsid w:val="005136E8"/>
    <w:rsid w:val="005148B5"/>
    <w:rsid w:val="00523D9D"/>
    <w:rsid w:val="00525EBC"/>
    <w:rsid w:val="005304BB"/>
    <w:rsid w:val="00535105"/>
    <w:rsid w:val="00535A01"/>
    <w:rsid w:val="005362B9"/>
    <w:rsid w:val="005368D3"/>
    <w:rsid w:val="00541CF0"/>
    <w:rsid w:val="00544C11"/>
    <w:rsid w:val="00545671"/>
    <w:rsid w:val="005462E8"/>
    <w:rsid w:val="00552102"/>
    <w:rsid w:val="005557A3"/>
    <w:rsid w:val="005655DD"/>
    <w:rsid w:val="00565641"/>
    <w:rsid w:val="00566537"/>
    <w:rsid w:val="005677F5"/>
    <w:rsid w:val="005705D6"/>
    <w:rsid w:val="005764BD"/>
    <w:rsid w:val="00581AC6"/>
    <w:rsid w:val="005871BC"/>
    <w:rsid w:val="00587EEB"/>
    <w:rsid w:val="0059304D"/>
    <w:rsid w:val="00593E00"/>
    <w:rsid w:val="00594FCF"/>
    <w:rsid w:val="0059550F"/>
    <w:rsid w:val="005A1032"/>
    <w:rsid w:val="005A2DA8"/>
    <w:rsid w:val="005A3E5D"/>
    <w:rsid w:val="005B1453"/>
    <w:rsid w:val="005B5A42"/>
    <w:rsid w:val="005C278C"/>
    <w:rsid w:val="005C4175"/>
    <w:rsid w:val="005C4AE2"/>
    <w:rsid w:val="005D0375"/>
    <w:rsid w:val="005D493A"/>
    <w:rsid w:val="005E0566"/>
    <w:rsid w:val="005F2743"/>
    <w:rsid w:val="005F2DAA"/>
    <w:rsid w:val="005F3ECD"/>
    <w:rsid w:val="005F4BE5"/>
    <w:rsid w:val="005F52EF"/>
    <w:rsid w:val="005F6B2E"/>
    <w:rsid w:val="005F7E74"/>
    <w:rsid w:val="005F7FA3"/>
    <w:rsid w:val="00603134"/>
    <w:rsid w:val="00611B8B"/>
    <w:rsid w:val="00613A48"/>
    <w:rsid w:val="006157EE"/>
    <w:rsid w:val="00616909"/>
    <w:rsid w:val="00625880"/>
    <w:rsid w:val="00630BCB"/>
    <w:rsid w:val="0063363A"/>
    <w:rsid w:val="00635433"/>
    <w:rsid w:val="00636B0C"/>
    <w:rsid w:val="00637C80"/>
    <w:rsid w:val="00642F7E"/>
    <w:rsid w:val="006519E9"/>
    <w:rsid w:val="0065307F"/>
    <w:rsid w:val="00653459"/>
    <w:rsid w:val="00656366"/>
    <w:rsid w:val="00676B19"/>
    <w:rsid w:val="006805EA"/>
    <w:rsid w:val="00684466"/>
    <w:rsid w:val="00691CAE"/>
    <w:rsid w:val="006A2EFF"/>
    <w:rsid w:val="006A4838"/>
    <w:rsid w:val="006A4CFE"/>
    <w:rsid w:val="006B224F"/>
    <w:rsid w:val="006B630B"/>
    <w:rsid w:val="006C0601"/>
    <w:rsid w:val="006C096E"/>
    <w:rsid w:val="006C147E"/>
    <w:rsid w:val="006C24B6"/>
    <w:rsid w:val="006C24EE"/>
    <w:rsid w:val="006C351A"/>
    <w:rsid w:val="006C483C"/>
    <w:rsid w:val="006C6E8C"/>
    <w:rsid w:val="006D09CD"/>
    <w:rsid w:val="006D38A8"/>
    <w:rsid w:val="006E235C"/>
    <w:rsid w:val="006E5B38"/>
    <w:rsid w:val="006E6FD3"/>
    <w:rsid w:val="006F2464"/>
    <w:rsid w:val="006F74F0"/>
    <w:rsid w:val="00701117"/>
    <w:rsid w:val="0070335A"/>
    <w:rsid w:val="0070474D"/>
    <w:rsid w:val="007168C4"/>
    <w:rsid w:val="00716989"/>
    <w:rsid w:val="00722B9F"/>
    <w:rsid w:val="00722E1F"/>
    <w:rsid w:val="007242B8"/>
    <w:rsid w:val="007314EA"/>
    <w:rsid w:val="00742750"/>
    <w:rsid w:val="007439DC"/>
    <w:rsid w:val="0075003C"/>
    <w:rsid w:val="00752F60"/>
    <w:rsid w:val="0075685A"/>
    <w:rsid w:val="00765EA1"/>
    <w:rsid w:val="007678A4"/>
    <w:rsid w:val="0077026A"/>
    <w:rsid w:val="00770D23"/>
    <w:rsid w:val="007723B0"/>
    <w:rsid w:val="00774579"/>
    <w:rsid w:val="00775F48"/>
    <w:rsid w:val="00783DEE"/>
    <w:rsid w:val="0078477E"/>
    <w:rsid w:val="00784FF9"/>
    <w:rsid w:val="00785EF0"/>
    <w:rsid w:val="007932D6"/>
    <w:rsid w:val="00794A22"/>
    <w:rsid w:val="007A044F"/>
    <w:rsid w:val="007A16DF"/>
    <w:rsid w:val="007A7BCE"/>
    <w:rsid w:val="007B15B6"/>
    <w:rsid w:val="007B32ED"/>
    <w:rsid w:val="007C3785"/>
    <w:rsid w:val="007C37C8"/>
    <w:rsid w:val="007D34FB"/>
    <w:rsid w:val="007D4DAA"/>
    <w:rsid w:val="007D5F76"/>
    <w:rsid w:val="007E1B0E"/>
    <w:rsid w:val="007E1EBA"/>
    <w:rsid w:val="007E4BDF"/>
    <w:rsid w:val="007E5EC2"/>
    <w:rsid w:val="007F133E"/>
    <w:rsid w:val="007F14FA"/>
    <w:rsid w:val="007F3F18"/>
    <w:rsid w:val="00817FE1"/>
    <w:rsid w:val="008202A5"/>
    <w:rsid w:val="00823724"/>
    <w:rsid w:val="008269E1"/>
    <w:rsid w:val="00826F17"/>
    <w:rsid w:val="0083495F"/>
    <w:rsid w:val="00837C9F"/>
    <w:rsid w:val="008476FA"/>
    <w:rsid w:val="00855A27"/>
    <w:rsid w:val="00855F29"/>
    <w:rsid w:val="00860940"/>
    <w:rsid w:val="008673F3"/>
    <w:rsid w:val="0087372F"/>
    <w:rsid w:val="008739D8"/>
    <w:rsid w:val="0087543B"/>
    <w:rsid w:val="00877229"/>
    <w:rsid w:val="00885A5F"/>
    <w:rsid w:val="00892A82"/>
    <w:rsid w:val="008A00D7"/>
    <w:rsid w:val="008A110B"/>
    <w:rsid w:val="008A611B"/>
    <w:rsid w:val="008B093D"/>
    <w:rsid w:val="008B129D"/>
    <w:rsid w:val="008B173D"/>
    <w:rsid w:val="008B3D19"/>
    <w:rsid w:val="008C0287"/>
    <w:rsid w:val="008D25F0"/>
    <w:rsid w:val="008D46F1"/>
    <w:rsid w:val="008E45D4"/>
    <w:rsid w:val="008F1DFE"/>
    <w:rsid w:val="008F2DE2"/>
    <w:rsid w:val="008F3F8C"/>
    <w:rsid w:val="008F44AD"/>
    <w:rsid w:val="008F7638"/>
    <w:rsid w:val="0090347E"/>
    <w:rsid w:val="00905FAC"/>
    <w:rsid w:val="00913C8E"/>
    <w:rsid w:val="00915838"/>
    <w:rsid w:val="009205E0"/>
    <w:rsid w:val="00922E1C"/>
    <w:rsid w:val="00926A16"/>
    <w:rsid w:val="0093433D"/>
    <w:rsid w:val="00934414"/>
    <w:rsid w:val="00947423"/>
    <w:rsid w:val="00950A53"/>
    <w:rsid w:val="0095370C"/>
    <w:rsid w:val="00954110"/>
    <w:rsid w:val="00954A95"/>
    <w:rsid w:val="00963A74"/>
    <w:rsid w:val="00963E0D"/>
    <w:rsid w:val="0096523B"/>
    <w:rsid w:val="009653BA"/>
    <w:rsid w:val="00965A49"/>
    <w:rsid w:val="00966003"/>
    <w:rsid w:val="0097202D"/>
    <w:rsid w:val="0097658F"/>
    <w:rsid w:val="0098071B"/>
    <w:rsid w:val="00984DB1"/>
    <w:rsid w:val="0099052B"/>
    <w:rsid w:val="00991E8A"/>
    <w:rsid w:val="00994090"/>
    <w:rsid w:val="00995D30"/>
    <w:rsid w:val="009A01B0"/>
    <w:rsid w:val="009A0C4D"/>
    <w:rsid w:val="009A3450"/>
    <w:rsid w:val="009B0146"/>
    <w:rsid w:val="009B19BB"/>
    <w:rsid w:val="009B1DA8"/>
    <w:rsid w:val="009B77E5"/>
    <w:rsid w:val="009B7A13"/>
    <w:rsid w:val="009B7FC6"/>
    <w:rsid w:val="009C61FB"/>
    <w:rsid w:val="009F5040"/>
    <w:rsid w:val="00A00B67"/>
    <w:rsid w:val="00A01773"/>
    <w:rsid w:val="00A03480"/>
    <w:rsid w:val="00A0456B"/>
    <w:rsid w:val="00A055A0"/>
    <w:rsid w:val="00A06DB4"/>
    <w:rsid w:val="00A10668"/>
    <w:rsid w:val="00A152D9"/>
    <w:rsid w:val="00A17205"/>
    <w:rsid w:val="00A23AC3"/>
    <w:rsid w:val="00A267B4"/>
    <w:rsid w:val="00A27140"/>
    <w:rsid w:val="00A32BE9"/>
    <w:rsid w:val="00A343BF"/>
    <w:rsid w:val="00A351A3"/>
    <w:rsid w:val="00A357B6"/>
    <w:rsid w:val="00A404EF"/>
    <w:rsid w:val="00A46B0C"/>
    <w:rsid w:val="00A47F22"/>
    <w:rsid w:val="00A5432C"/>
    <w:rsid w:val="00A55103"/>
    <w:rsid w:val="00A55E51"/>
    <w:rsid w:val="00A675CE"/>
    <w:rsid w:val="00A7134F"/>
    <w:rsid w:val="00A82DF4"/>
    <w:rsid w:val="00A849BF"/>
    <w:rsid w:val="00A90E55"/>
    <w:rsid w:val="00AA6ED7"/>
    <w:rsid w:val="00AB0464"/>
    <w:rsid w:val="00AB18B0"/>
    <w:rsid w:val="00AB2D54"/>
    <w:rsid w:val="00AB5645"/>
    <w:rsid w:val="00AB7626"/>
    <w:rsid w:val="00AC0189"/>
    <w:rsid w:val="00AC0E23"/>
    <w:rsid w:val="00AC4F12"/>
    <w:rsid w:val="00AC728A"/>
    <w:rsid w:val="00AC739D"/>
    <w:rsid w:val="00AD3B74"/>
    <w:rsid w:val="00AD4A7D"/>
    <w:rsid w:val="00AE49D0"/>
    <w:rsid w:val="00AF43C3"/>
    <w:rsid w:val="00AF7077"/>
    <w:rsid w:val="00B0480D"/>
    <w:rsid w:val="00B05F3E"/>
    <w:rsid w:val="00B07DA1"/>
    <w:rsid w:val="00B105CC"/>
    <w:rsid w:val="00B117F1"/>
    <w:rsid w:val="00B300FA"/>
    <w:rsid w:val="00B334FB"/>
    <w:rsid w:val="00B443BA"/>
    <w:rsid w:val="00B5152A"/>
    <w:rsid w:val="00B52BBF"/>
    <w:rsid w:val="00B53852"/>
    <w:rsid w:val="00B571AC"/>
    <w:rsid w:val="00B6754A"/>
    <w:rsid w:val="00B7051F"/>
    <w:rsid w:val="00B926E2"/>
    <w:rsid w:val="00B93DE7"/>
    <w:rsid w:val="00B95E80"/>
    <w:rsid w:val="00BA1412"/>
    <w:rsid w:val="00BA5D19"/>
    <w:rsid w:val="00BB1923"/>
    <w:rsid w:val="00BB2D3F"/>
    <w:rsid w:val="00BB5D15"/>
    <w:rsid w:val="00BC1430"/>
    <w:rsid w:val="00BC1582"/>
    <w:rsid w:val="00BC338F"/>
    <w:rsid w:val="00BC391E"/>
    <w:rsid w:val="00BC6B5B"/>
    <w:rsid w:val="00BD727D"/>
    <w:rsid w:val="00BE04DC"/>
    <w:rsid w:val="00BE2FF1"/>
    <w:rsid w:val="00BE56A2"/>
    <w:rsid w:val="00BE7857"/>
    <w:rsid w:val="00BF525A"/>
    <w:rsid w:val="00C01F43"/>
    <w:rsid w:val="00C02173"/>
    <w:rsid w:val="00C11B6F"/>
    <w:rsid w:val="00C23162"/>
    <w:rsid w:val="00C3299A"/>
    <w:rsid w:val="00C35C18"/>
    <w:rsid w:val="00C40148"/>
    <w:rsid w:val="00C4184E"/>
    <w:rsid w:val="00C41A21"/>
    <w:rsid w:val="00C41DF5"/>
    <w:rsid w:val="00C42296"/>
    <w:rsid w:val="00C44E1B"/>
    <w:rsid w:val="00C45E71"/>
    <w:rsid w:val="00C46DA1"/>
    <w:rsid w:val="00C479CB"/>
    <w:rsid w:val="00C47C1A"/>
    <w:rsid w:val="00C502EE"/>
    <w:rsid w:val="00C62F9E"/>
    <w:rsid w:val="00C657D4"/>
    <w:rsid w:val="00C7123E"/>
    <w:rsid w:val="00C75497"/>
    <w:rsid w:val="00C82893"/>
    <w:rsid w:val="00C875BF"/>
    <w:rsid w:val="00C93211"/>
    <w:rsid w:val="00C95A9F"/>
    <w:rsid w:val="00C976DF"/>
    <w:rsid w:val="00C97D5C"/>
    <w:rsid w:val="00C97FAD"/>
    <w:rsid w:val="00CA37B5"/>
    <w:rsid w:val="00CB377F"/>
    <w:rsid w:val="00CB705A"/>
    <w:rsid w:val="00CC4228"/>
    <w:rsid w:val="00CC5F25"/>
    <w:rsid w:val="00CC770D"/>
    <w:rsid w:val="00CD2492"/>
    <w:rsid w:val="00CD5514"/>
    <w:rsid w:val="00CD71BA"/>
    <w:rsid w:val="00CE218D"/>
    <w:rsid w:val="00CE4E0B"/>
    <w:rsid w:val="00CE798D"/>
    <w:rsid w:val="00CF4C5C"/>
    <w:rsid w:val="00D01472"/>
    <w:rsid w:val="00D04334"/>
    <w:rsid w:val="00D07B07"/>
    <w:rsid w:val="00D07F01"/>
    <w:rsid w:val="00D11FAB"/>
    <w:rsid w:val="00D20655"/>
    <w:rsid w:val="00D23D42"/>
    <w:rsid w:val="00D321F6"/>
    <w:rsid w:val="00D33AC0"/>
    <w:rsid w:val="00D361CA"/>
    <w:rsid w:val="00D41D67"/>
    <w:rsid w:val="00D435FC"/>
    <w:rsid w:val="00D43F1E"/>
    <w:rsid w:val="00D52318"/>
    <w:rsid w:val="00D549EE"/>
    <w:rsid w:val="00D573EE"/>
    <w:rsid w:val="00D574BE"/>
    <w:rsid w:val="00D64033"/>
    <w:rsid w:val="00D701DC"/>
    <w:rsid w:val="00D71DF0"/>
    <w:rsid w:val="00D82143"/>
    <w:rsid w:val="00D82369"/>
    <w:rsid w:val="00D845B4"/>
    <w:rsid w:val="00D9369B"/>
    <w:rsid w:val="00D97B62"/>
    <w:rsid w:val="00DA0F30"/>
    <w:rsid w:val="00DA2A66"/>
    <w:rsid w:val="00DA4A43"/>
    <w:rsid w:val="00DB3773"/>
    <w:rsid w:val="00DB4D0D"/>
    <w:rsid w:val="00DC39E6"/>
    <w:rsid w:val="00DC48C6"/>
    <w:rsid w:val="00DC7A4D"/>
    <w:rsid w:val="00DD0201"/>
    <w:rsid w:val="00DD02F8"/>
    <w:rsid w:val="00DD042C"/>
    <w:rsid w:val="00DD0DA1"/>
    <w:rsid w:val="00DD0E62"/>
    <w:rsid w:val="00DD11A3"/>
    <w:rsid w:val="00DD1645"/>
    <w:rsid w:val="00DD16D3"/>
    <w:rsid w:val="00DD750C"/>
    <w:rsid w:val="00DE56AE"/>
    <w:rsid w:val="00DF17CB"/>
    <w:rsid w:val="00DF57A1"/>
    <w:rsid w:val="00DF748B"/>
    <w:rsid w:val="00E00720"/>
    <w:rsid w:val="00E1126A"/>
    <w:rsid w:val="00E12343"/>
    <w:rsid w:val="00E15AA2"/>
    <w:rsid w:val="00E17160"/>
    <w:rsid w:val="00E23804"/>
    <w:rsid w:val="00E23C9B"/>
    <w:rsid w:val="00E26AA2"/>
    <w:rsid w:val="00E326B0"/>
    <w:rsid w:val="00E37D60"/>
    <w:rsid w:val="00E37EED"/>
    <w:rsid w:val="00E418B7"/>
    <w:rsid w:val="00E432B9"/>
    <w:rsid w:val="00E5730A"/>
    <w:rsid w:val="00E57A9A"/>
    <w:rsid w:val="00E57EB1"/>
    <w:rsid w:val="00E61F08"/>
    <w:rsid w:val="00E636DA"/>
    <w:rsid w:val="00E65DEC"/>
    <w:rsid w:val="00E710F6"/>
    <w:rsid w:val="00E77BDE"/>
    <w:rsid w:val="00E835A6"/>
    <w:rsid w:val="00E838C7"/>
    <w:rsid w:val="00E850BC"/>
    <w:rsid w:val="00E86219"/>
    <w:rsid w:val="00E94D60"/>
    <w:rsid w:val="00E951B3"/>
    <w:rsid w:val="00EA1010"/>
    <w:rsid w:val="00EA5D1B"/>
    <w:rsid w:val="00EB2E65"/>
    <w:rsid w:val="00EB41AC"/>
    <w:rsid w:val="00EB51D0"/>
    <w:rsid w:val="00EB6BA9"/>
    <w:rsid w:val="00EC271E"/>
    <w:rsid w:val="00EC2CC4"/>
    <w:rsid w:val="00EC3B09"/>
    <w:rsid w:val="00EC5A06"/>
    <w:rsid w:val="00EC6249"/>
    <w:rsid w:val="00EC6D80"/>
    <w:rsid w:val="00EF3549"/>
    <w:rsid w:val="00F0084C"/>
    <w:rsid w:val="00F00E9D"/>
    <w:rsid w:val="00F01356"/>
    <w:rsid w:val="00F02C98"/>
    <w:rsid w:val="00F15A68"/>
    <w:rsid w:val="00F17DAC"/>
    <w:rsid w:val="00F209E9"/>
    <w:rsid w:val="00F23855"/>
    <w:rsid w:val="00F23868"/>
    <w:rsid w:val="00F2553F"/>
    <w:rsid w:val="00F3465A"/>
    <w:rsid w:val="00F348BD"/>
    <w:rsid w:val="00F35E68"/>
    <w:rsid w:val="00F4159C"/>
    <w:rsid w:val="00F45B67"/>
    <w:rsid w:val="00F5374F"/>
    <w:rsid w:val="00F56F33"/>
    <w:rsid w:val="00F60438"/>
    <w:rsid w:val="00F66544"/>
    <w:rsid w:val="00F6731B"/>
    <w:rsid w:val="00F67561"/>
    <w:rsid w:val="00F76B59"/>
    <w:rsid w:val="00F76E00"/>
    <w:rsid w:val="00F842CA"/>
    <w:rsid w:val="00F844FE"/>
    <w:rsid w:val="00F87D51"/>
    <w:rsid w:val="00F9498B"/>
    <w:rsid w:val="00FA151B"/>
    <w:rsid w:val="00FA33ED"/>
    <w:rsid w:val="00FA4FCC"/>
    <w:rsid w:val="00FA6106"/>
    <w:rsid w:val="00FB0231"/>
    <w:rsid w:val="00FB25D3"/>
    <w:rsid w:val="00FB261C"/>
    <w:rsid w:val="00FB4B23"/>
    <w:rsid w:val="00FC7065"/>
    <w:rsid w:val="00FD0573"/>
    <w:rsid w:val="00FD086E"/>
    <w:rsid w:val="00FE015D"/>
    <w:rsid w:val="00FE5867"/>
    <w:rsid w:val="00FE6A5B"/>
    <w:rsid w:val="00FE72F0"/>
    <w:rsid w:val="00FF2FE4"/>
    <w:rsid w:val="00FF3C66"/>
    <w:rsid w:val="00FF4239"/>
    <w:rsid w:val="01002534"/>
    <w:rsid w:val="01192C1F"/>
    <w:rsid w:val="02D055AB"/>
    <w:rsid w:val="03192A63"/>
    <w:rsid w:val="032E30C5"/>
    <w:rsid w:val="045C3BD7"/>
    <w:rsid w:val="04BF0D57"/>
    <w:rsid w:val="04FF6142"/>
    <w:rsid w:val="057A1088"/>
    <w:rsid w:val="07281831"/>
    <w:rsid w:val="07AB20F7"/>
    <w:rsid w:val="09E16D42"/>
    <w:rsid w:val="09ED6646"/>
    <w:rsid w:val="0A2B69CE"/>
    <w:rsid w:val="0AAE6186"/>
    <w:rsid w:val="0B297F03"/>
    <w:rsid w:val="0BE0776A"/>
    <w:rsid w:val="0BE20DB9"/>
    <w:rsid w:val="0BF52B00"/>
    <w:rsid w:val="0CDE6ACB"/>
    <w:rsid w:val="0EC072D4"/>
    <w:rsid w:val="0FE41DA5"/>
    <w:rsid w:val="10080E3B"/>
    <w:rsid w:val="106C7F8A"/>
    <w:rsid w:val="11AD74FD"/>
    <w:rsid w:val="12E72914"/>
    <w:rsid w:val="13014CA2"/>
    <w:rsid w:val="133833D9"/>
    <w:rsid w:val="142E6F23"/>
    <w:rsid w:val="14925501"/>
    <w:rsid w:val="14F84610"/>
    <w:rsid w:val="15C251DC"/>
    <w:rsid w:val="15D05B4B"/>
    <w:rsid w:val="186B371A"/>
    <w:rsid w:val="18C56BE1"/>
    <w:rsid w:val="19797D49"/>
    <w:rsid w:val="1A833618"/>
    <w:rsid w:val="1AA94D70"/>
    <w:rsid w:val="1C204A70"/>
    <w:rsid w:val="1EA62ECB"/>
    <w:rsid w:val="1EA71924"/>
    <w:rsid w:val="1EF52D40"/>
    <w:rsid w:val="1F616F53"/>
    <w:rsid w:val="1FD53D5E"/>
    <w:rsid w:val="20D96EAC"/>
    <w:rsid w:val="23ED182B"/>
    <w:rsid w:val="246D27B7"/>
    <w:rsid w:val="26C65AE5"/>
    <w:rsid w:val="26DA6E62"/>
    <w:rsid w:val="27F07CAD"/>
    <w:rsid w:val="282F5F60"/>
    <w:rsid w:val="283A0FCC"/>
    <w:rsid w:val="285E2475"/>
    <w:rsid w:val="28E63C90"/>
    <w:rsid w:val="293E2974"/>
    <w:rsid w:val="2BD71106"/>
    <w:rsid w:val="2D0B289B"/>
    <w:rsid w:val="2D9E7E85"/>
    <w:rsid w:val="2DC31699"/>
    <w:rsid w:val="2E345051"/>
    <w:rsid w:val="2E67471B"/>
    <w:rsid w:val="2FD4343D"/>
    <w:rsid w:val="315E0057"/>
    <w:rsid w:val="319402E0"/>
    <w:rsid w:val="328E671A"/>
    <w:rsid w:val="32AF5D39"/>
    <w:rsid w:val="33835B53"/>
    <w:rsid w:val="34AA1C4E"/>
    <w:rsid w:val="34B21427"/>
    <w:rsid w:val="35E62F1F"/>
    <w:rsid w:val="3679323D"/>
    <w:rsid w:val="397228F1"/>
    <w:rsid w:val="3976242A"/>
    <w:rsid w:val="39AD728C"/>
    <w:rsid w:val="39B32F0A"/>
    <w:rsid w:val="3A076359"/>
    <w:rsid w:val="3B040B52"/>
    <w:rsid w:val="3B0735D5"/>
    <w:rsid w:val="3C3A0EF2"/>
    <w:rsid w:val="3C885F88"/>
    <w:rsid w:val="3D0A7A45"/>
    <w:rsid w:val="3D475D26"/>
    <w:rsid w:val="3EFB5137"/>
    <w:rsid w:val="3F1717B3"/>
    <w:rsid w:val="42ED2773"/>
    <w:rsid w:val="46A7113B"/>
    <w:rsid w:val="49267254"/>
    <w:rsid w:val="4A122136"/>
    <w:rsid w:val="4A90625F"/>
    <w:rsid w:val="4AAC72D7"/>
    <w:rsid w:val="4AB45031"/>
    <w:rsid w:val="4BBA6808"/>
    <w:rsid w:val="4C8A7A5D"/>
    <w:rsid w:val="4D061745"/>
    <w:rsid w:val="4D253945"/>
    <w:rsid w:val="4D385F39"/>
    <w:rsid w:val="4DAC5E0D"/>
    <w:rsid w:val="51F25A25"/>
    <w:rsid w:val="52C56EF8"/>
    <w:rsid w:val="56C66D94"/>
    <w:rsid w:val="5737087F"/>
    <w:rsid w:val="581F3A48"/>
    <w:rsid w:val="5A6E106B"/>
    <w:rsid w:val="5ADE2EE5"/>
    <w:rsid w:val="5B3550D5"/>
    <w:rsid w:val="5BF96016"/>
    <w:rsid w:val="5C0827EA"/>
    <w:rsid w:val="5DBD55D9"/>
    <w:rsid w:val="5F1831CC"/>
    <w:rsid w:val="5F9F0030"/>
    <w:rsid w:val="5FCE0039"/>
    <w:rsid w:val="60F20DD4"/>
    <w:rsid w:val="61266F0B"/>
    <w:rsid w:val="61F56B7E"/>
    <w:rsid w:val="620D6766"/>
    <w:rsid w:val="62BF7EAD"/>
    <w:rsid w:val="63F30FAD"/>
    <w:rsid w:val="650011A1"/>
    <w:rsid w:val="65041160"/>
    <w:rsid w:val="66374321"/>
    <w:rsid w:val="672428CB"/>
    <w:rsid w:val="674F3818"/>
    <w:rsid w:val="67966B15"/>
    <w:rsid w:val="68EB6327"/>
    <w:rsid w:val="690A5FBF"/>
    <w:rsid w:val="69B27EDE"/>
    <w:rsid w:val="6D8E5319"/>
    <w:rsid w:val="6E3E3594"/>
    <w:rsid w:val="6E6715F2"/>
    <w:rsid w:val="6E8C0E54"/>
    <w:rsid w:val="6EB05D4F"/>
    <w:rsid w:val="6ECF1416"/>
    <w:rsid w:val="6EFE794C"/>
    <w:rsid w:val="6FBA4E3D"/>
    <w:rsid w:val="70765B1C"/>
    <w:rsid w:val="70996FD2"/>
    <w:rsid w:val="73664D9C"/>
    <w:rsid w:val="737B6CA9"/>
    <w:rsid w:val="74612DB8"/>
    <w:rsid w:val="758C6297"/>
    <w:rsid w:val="75DA56C5"/>
    <w:rsid w:val="75DB0DB8"/>
    <w:rsid w:val="760A0840"/>
    <w:rsid w:val="77492442"/>
    <w:rsid w:val="777F23C9"/>
    <w:rsid w:val="787B0173"/>
    <w:rsid w:val="79DD31EC"/>
    <w:rsid w:val="7A227D0D"/>
    <w:rsid w:val="7BB2188A"/>
    <w:rsid w:val="7BDF573C"/>
    <w:rsid w:val="7CF14EA8"/>
    <w:rsid w:val="7D3F7806"/>
    <w:rsid w:val="7E1368FE"/>
    <w:rsid w:val="7ED2486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jc w:val="center"/>
      <w:outlineLvl w:val="0"/>
    </w:pPr>
    <w:rPr>
      <w:b/>
      <w:bCs/>
      <w:i/>
      <w:iCs/>
      <w:sz w:val="52"/>
      <w:szCs w:val="20"/>
    </w:rPr>
  </w:style>
  <w:style w:type="character" w:default="1" w:styleId="12">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3">
    <w:name w:val="annotation text"/>
    <w:basedOn w:val="1"/>
    <w:link w:val="18"/>
    <w:qFormat/>
    <w:uiPriority w:val="0"/>
    <w:pPr>
      <w:jc w:val="left"/>
    </w:pPr>
  </w:style>
  <w:style w:type="paragraph" w:styleId="4">
    <w:name w:val="Body Text"/>
    <w:basedOn w:val="1"/>
    <w:qFormat/>
    <w:uiPriority w:val="0"/>
    <w:pPr>
      <w:ind w:left="527"/>
    </w:pPr>
    <w:rPr>
      <w:rFonts w:ascii="宋体" w:cs="宋体"/>
      <w:sz w:val="21"/>
      <w:szCs w:val="21"/>
    </w:rPr>
  </w:style>
  <w:style w:type="paragraph" w:styleId="5">
    <w:name w:val="Plain Text"/>
    <w:basedOn w:val="1"/>
    <w:qFormat/>
    <w:uiPriority w:val="0"/>
    <w:rPr>
      <w:rFonts w:ascii="宋体" w:hAnsi="Courier New" w:cs="楷体_GB2312"/>
      <w:szCs w:val="21"/>
    </w:rPr>
  </w:style>
  <w:style w:type="paragraph" w:styleId="6">
    <w:name w:val="Balloon Text"/>
    <w:basedOn w:val="1"/>
    <w:semiHidden/>
    <w:qFormat/>
    <w:uiPriority w:val="0"/>
    <w:rPr>
      <w:sz w:val="18"/>
      <w:szCs w:val="18"/>
    </w:rPr>
  </w:style>
  <w:style w:type="paragraph" w:styleId="7">
    <w:name w:val="footer"/>
    <w:basedOn w:val="1"/>
    <w:link w:val="19"/>
    <w:qFormat/>
    <w:uiPriority w:val="99"/>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annotation subject"/>
    <w:basedOn w:val="3"/>
    <w:next w:val="3"/>
    <w:link w:val="20"/>
    <w:qFormat/>
    <w:uiPriority w:val="0"/>
    <w:rPr>
      <w:b/>
      <w:bCs/>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character" w:styleId="14">
    <w:name w:val="page number"/>
    <w:basedOn w:val="12"/>
    <w:qFormat/>
    <w:uiPriority w:val="0"/>
  </w:style>
  <w:style w:type="character" w:styleId="15">
    <w:name w:val="Emphasis"/>
    <w:qFormat/>
    <w:uiPriority w:val="0"/>
    <w:rPr>
      <w:color w:val="CC0000"/>
    </w:rPr>
  </w:style>
  <w:style w:type="character" w:styleId="16">
    <w:name w:val="Hyperlink"/>
    <w:basedOn w:val="12"/>
    <w:qFormat/>
    <w:uiPriority w:val="0"/>
    <w:rPr>
      <w:color w:val="0000FF"/>
      <w:u w:val="single"/>
    </w:rPr>
  </w:style>
  <w:style w:type="character" w:styleId="17">
    <w:name w:val="annotation reference"/>
    <w:qFormat/>
    <w:uiPriority w:val="0"/>
    <w:rPr>
      <w:sz w:val="21"/>
      <w:szCs w:val="21"/>
    </w:rPr>
  </w:style>
  <w:style w:type="character" w:customStyle="1" w:styleId="18">
    <w:name w:val="批注文字 字符"/>
    <w:link w:val="3"/>
    <w:qFormat/>
    <w:uiPriority w:val="0"/>
    <w:rPr>
      <w:kern w:val="2"/>
      <w:sz w:val="21"/>
      <w:szCs w:val="24"/>
    </w:rPr>
  </w:style>
  <w:style w:type="character" w:customStyle="1" w:styleId="19">
    <w:name w:val="页脚 字符"/>
    <w:basedOn w:val="12"/>
    <w:link w:val="7"/>
    <w:qFormat/>
    <w:uiPriority w:val="99"/>
    <w:rPr>
      <w:kern w:val="2"/>
      <w:sz w:val="18"/>
      <w:szCs w:val="18"/>
    </w:rPr>
  </w:style>
  <w:style w:type="character" w:customStyle="1" w:styleId="20">
    <w:name w:val="批注主题 字符"/>
    <w:link w:val="9"/>
    <w:qFormat/>
    <w:uiPriority w:val="0"/>
    <w:rPr>
      <w:b/>
      <w:bCs/>
      <w:kern w:val="2"/>
      <w:sz w:val="21"/>
      <w:szCs w:val="24"/>
    </w:rPr>
  </w:style>
  <w:style w:type="paragraph" w:customStyle="1" w:styleId="21">
    <w:name w:val="Char"/>
    <w:basedOn w:val="1"/>
    <w:qFormat/>
    <w:uiPriority w:val="0"/>
  </w:style>
  <w:style w:type="paragraph" w:customStyle="1" w:styleId="22">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23">
    <w:name w:val="Table Paragraph"/>
    <w:basedOn w:val="1"/>
    <w:qFormat/>
    <w:uiPriority w:val="1"/>
    <w:pPr>
      <w:ind w:left="110"/>
    </w:pPr>
  </w:style>
  <w:style w:type="table" w:customStyle="1" w:styleId="24">
    <w:name w:val="Table Normal"/>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4097"/>
    <customShpInfo spid="_x0000_s4098"/>
    <customShpInfo spid="_x0000_s4099" textRotate="1"/>
  </customShpExts>
</s:customData>
</file>

<file path=customXml/item2.xml><?xml version="1.0" encoding="utf-8"?>
<contractReview xmlns="http://schemas.wps.cn/vas-ai-hub/contract-review">
  <reviewItems>
    <reviewItem>
      <errorID>0946eefb-f1b5-477f-ac2a-ca30891cff9c</errorID>
      <errorWord>泄漏</errorWord>
      <group>L1_Word</group>
      <groupName>字词问题</groupName>
      <ability>L2_Typo</ability>
      <abilityName>字词错误</abilityName>
      <candidateList>
        <item>泄露</item>
      </candidateList>
      <explain/>
      <paraID>7E755386</paraID>
      <start>26</start>
      <end>28</end>
      <status>ignored</status>
      <modifiedWord/>
      <trackRevisions>false</trackRevisions>
    </reviewItem>
    <reviewItem>
      <errorID>d16874e2-3c7e-4578-b930-47a2df416940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5A8C8B2E</paraID>
      <start>12</start>
      <end>13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1ab4ad4-0ae6-4234-8839-80518c5e851a}">
  <ds:schemaRefs/>
</ds:datastoreItem>
</file>

<file path=docProps/app.xml><?xml version="1.0" encoding="utf-8"?>
<Properties xmlns="http://schemas.openxmlformats.org/officeDocument/2006/extended-properties" xmlns:vt="http://schemas.openxmlformats.org/officeDocument/2006/docPropsVTypes">
  <Template>Normal</Template>
  <Company>MS User</Company>
  <Pages>8</Pages>
  <Words>6191</Words>
  <Characters>6445</Characters>
  <Lines>23</Lines>
  <Paragraphs>6</Paragraphs>
  <TotalTime>11</TotalTime>
  <ScaleCrop>false</ScaleCrop>
  <LinksUpToDate>false</LinksUpToDate>
  <CharactersWithSpaces>7000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2021-02-03T10:24:00Z</dcterms:created>
  <dc:creator>MS User</dc:creator>
  <cp:lastModifiedBy>xu 敬杰</cp:lastModifiedBy>
  <cp:lastPrinted>2016-08-09T07:52:00Z</cp:lastPrinted>
  <dcterms:modified xsi:type="dcterms:W3CDTF">2026-02-24T00:32:38Z</dcterms:modified>
  <dc:title>合同登记编号：</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FEC80356374D49C6812D4F52439CC37C_13</vt:lpwstr>
  </property>
  <property fmtid="{D5CDD505-2E9C-101B-9397-08002B2CF9AE}" pid="4" name="KSOTemplateDocerSaveRecord">
    <vt:lpwstr>eyJoZGlkIjoiZDY0NTc5NTJmYzQxMTk5ZWM0NDljNjVkZTBjNTI1MTQiLCJ1c2VySWQiOiIxMTUzMDI3OTM4In0=</vt:lpwstr>
  </property>
</Properties>
</file>